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0F2" w:rsidRDefault="001C0284" w:rsidP="00F3282B">
      <w:pPr>
        <w:ind w:left="-1800" w:right="-1800" w:firstLine="1800"/>
        <w:rPr>
          <w:lang w:val="en-AU"/>
        </w:rPr>
      </w:pPr>
      <w:bookmarkStart w:id="0" w:name="_GoBack"/>
      <w:bookmarkEnd w:id="0"/>
      <w:r>
        <w:rPr>
          <w:rFonts w:ascii="Arial" w:hAnsi="Arial" w:cs="Arial"/>
          <w:sz w:val="20"/>
          <w:lang w:val="en-AU"/>
        </w:rPr>
        <w:t>ADVOCACY FACT SHEET 7</w:t>
      </w:r>
    </w:p>
    <w:p w:rsidR="004D50F2" w:rsidRDefault="004D50F2" w:rsidP="00F3282B">
      <w:pPr>
        <w:ind w:left="-1800" w:right="-1800" w:firstLine="1800"/>
        <w:rPr>
          <w:lang w:val="en-AU"/>
        </w:rPr>
      </w:pPr>
    </w:p>
    <w:p w:rsidR="004D50F2" w:rsidRDefault="004D50F2" w:rsidP="00F3282B">
      <w:pPr>
        <w:ind w:left="-1800" w:right="-1800" w:firstLine="1800"/>
        <w:rPr>
          <w:lang w:val="en-AU"/>
        </w:rPr>
      </w:pPr>
    </w:p>
    <w:p w:rsidR="004D50F2" w:rsidRPr="004D50F2" w:rsidRDefault="004D50F2" w:rsidP="004D50F2">
      <w:pPr>
        <w:pBdr>
          <w:bottom w:val="single" w:sz="8" w:space="11" w:color="4F81BD"/>
        </w:pBdr>
        <w:contextualSpacing/>
        <w:jc w:val="both"/>
        <w:rPr>
          <w:rFonts w:ascii="Arial" w:eastAsia="MS Gothic" w:hAnsi="Arial" w:cs="Arial"/>
          <w:color w:val="17365D"/>
          <w:spacing w:val="5"/>
          <w:kern w:val="28"/>
          <w:sz w:val="44"/>
          <w:szCs w:val="44"/>
          <w:lang w:val="en-AU" w:eastAsia="en-AU"/>
        </w:rPr>
      </w:pPr>
      <w:r>
        <w:rPr>
          <w:rFonts w:ascii="Arial" w:eastAsia="MS Gothic" w:hAnsi="Arial" w:cs="Arial"/>
          <w:color w:val="17365D"/>
          <w:spacing w:val="5"/>
          <w:kern w:val="28"/>
          <w:sz w:val="44"/>
          <w:szCs w:val="44"/>
          <w:lang w:val="en-AU" w:eastAsia="en-AU"/>
        </w:rPr>
        <w:t>Youth H</w:t>
      </w:r>
      <w:r w:rsidRPr="004D50F2">
        <w:rPr>
          <w:rFonts w:ascii="Arial" w:eastAsia="MS Gothic" w:hAnsi="Arial" w:cs="Arial"/>
          <w:color w:val="17365D"/>
          <w:spacing w:val="5"/>
          <w:kern w:val="28"/>
          <w:sz w:val="44"/>
          <w:szCs w:val="44"/>
          <w:lang w:val="en-AU" w:eastAsia="en-AU"/>
        </w:rPr>
        <w:t xml:space="preserve">omelessness – </w:t>
      </w:r>
      <w:r>
        <w:rPr>
          <w:rFonts w:ascii="Arial" w:eastAsia="MS Gothic" w:hAnsi="Arial" w:cs="Arial"/>
          <w:color w:val="17365D"/>
          <w:spacing w:val="5"/>
          <w:kern w:val="28"/>
          <w:sz w:val="44"/>
          <w:szCs w:val="44"/>
          <w:lang w:val="en-AU" w:eastAsia="en-AU"/>
        </w:rPr>
        <w:t>Youth Supported A</w:t>
      </w:r>
      <w:r w:rsidRPr="004D50F2">
        <w:rPr>
          <w:rFonts w:ascii="Arial" w:eastAsia="MS Gothic" w:hAnsi="Arial" w:cs="Arial"/>
          <w:color w:val="17365D"/>
          <w:spacing w:val="5"/>
          <w:kern w:val="28"/>
          <w:sz w:val="44"/>
          <w:szCs w:val="44"/>
          <w:lang w:val="en-AU" w:eastAsia="en-AU"/>
        </w:rPr>
        <w:t>ccommodation for the South Morang Civic Precinct</w:t>
      </w:r>
    </w:p>
    <w:p w:rsidR="004D50F2" w:rsidRPr="004D50F2" w:rsidRDefault="004D50F2" w:rsidP="004D50F2">
      <w:pPr>
        <w:spacing w:line="280" w:lineRule="atLeast"/>
        <w:contextualSpacing/>
        <w:jc w:val="both"/>
        <w:rPr>
          <w:rFonts w:ascii="Arial" w:eastAsia="Times New Roman" w:hAnsi="Arial" w:cs="Arial"/>
          <w:b/>
          <w:color w:val="17365D"/>
          <w:sz w:val="22"/>
          <w:szCs w:val="22"/>
          <w:lang w:val="en-GB" w:eastAsia="en-AU"/>
        </w:rPr>
      </w:pPr>
    </w:p>
    <w:p w:rsidR="004D50F2" w:rsidRDefault="004D50F2" w:rsidP="004D50F2">
      <w:pPr>
        <w:spacing w:line="280" w:lineRule="atLeast"/>
        <w:contextualSpacing/>
        <w:jc w:val="both"/>
        <w:rPr>
          <w:rFonts w:ascii="Arial" w:eastAsia="Times New Roman" w:hAnsi="Arial" w:cs="Arial"/>
          <w:b/>
          <w:color w:val="17365D"/>
          <w:sz w:val="22"/>
          <w:szCs w:val="22"/>
          <w:lang w:val="en-GB" w:eastAsia="en-AU"/>
        </w:rPr>
      </w:pPr>
      <w:r w:rsidRPr="004D50F2">
        <w:rPr>
          <w:rFonts w:ascii="Arial" w:eastAsia="Times New Roman" w:hAnsi="Arial" w:cs="Arial"/>
          <w:b/>
          <w:color w:val="17365D"/>
          <w:sz w:val="22"/>
          <w:szCs w:val="22"/>
          <w:lang w:val="en-GB" w:eastAsia="en-AU"/>
        </w:rPr>
        <w:t>Whittlesea Community Futures is seeking State and Federal Government support to help alleviate local youth homelessness by providing funding for local housing and services based on the Foyer model.</w:t>
      </w:r>
    </w:p>
    <w:p w:rsidR="004D50F2" w:rsidRPr="004D50F2" w:rsidRDefault="004D50F2" w:rsidP="004D50F2">
      <w:pPr>
        <w:spacing w:line="280" w:lineRule="atLeast"/>
        <w:contextualSpacing/>
        <w:jc w:val="both"/>
        <w:rPr>
          <w:rFonts w:ascii="Arial" w:eastAsia="Times New Roman" w:hAnsi="Arial" w:cs="Arial"/>
          <w:b/>
          <w:color w:val="17365D"/>
          <w:sz w:val="22"/>
          <w:szCs w:val="22"/>
          <w:lang w:val="en-GB" w:eastAsia="en-AU"/>
        </w:rPr>
      </w:pPr>
    </w:p>
    <w:p w:rsidR="004D50F2" w:rsidRDefault="004D50F2" w:rsidP="004D50F2">
      <w:pPr>
        <w:spacing w:line="280" w:lineRule="atLeast"/>
        <w:contextualSpacing/>
        <w:jc w:val="both"/>
        <w:rPr>
          <w:rFonts w:ascii="Arial" w:eastAsia="Calibri" w:hAnsi="Arial" w:cs="Arial"/>
          <w:b/>
          <w:color w:val="0070C0"/>
          <w:sz w:val="22"/>
          <w:szCs w:val="22"/>
          <w:lang w:val="en-AU"/>
        </w:rPr>
      </w:pPr>
      <w:r w:rsidRPr="004D50F2">
        <w:rPr>
          <w:rFonts w:ascii="Arial" w:eastAsia="Calibri" w:hAnsi="Arial" w:cs="Arial"/>
          <w:b/>
          <w:color w:val="0070C0"/>
          <w:sz w:val="22"/>
          <w:szCs w:val="22"/>
          <w:lang w:val="en-AU"/>
        </w:rPr>
        <w:t>What is happening right now?</w:t>
      </w:r>
    </w:p>
    <w:p w:rsidR="004D50F2" w:rsidRPr="004D50F2" w:rsidRDefault="004D50F2" w:rsidP="004D50F2">
      <w:pPr>
        <w:spacing w:line="280" w:lineRule="atLeast"/>
        <w:contextualSpacing/>
        <w:jc w:val="both"/>
        <w:rPr>
          <w:rFonts w:ascii="Arial" w:eastAsia="Calibri" w:hAnsi="Arial" w:cs="Arial"/>
          <w:b/>
          <w:color w:val="0070C0"/>
          <w:sz w:val="22"/>
          <w:szCs w:val="22"/>
          <w:lang w:val="en-AU"/>
        </w:rPr>
      </w:pPr>
    </w:p>
    <w:p w:rsidR="004D50F2" w:rsidRPr="004D50F2" w:rsidRDefault="004D50F2" w:rsidP="004D50F2">
      <w:pPr>
        <w:spacing w:line="280" w:lineRule="atLeast"/>
        <w:contextualSpacing/>
        <w:jc w:val="both"/>
        <w:rPr>
          <w:rFonts w:ascii="Arial" w:eastAsia="Arial Unicode MS" w:hAnsi="Arial" w:cs="Arial"/>
          <w:sz w:val="22"/>
          <w:szCs w:val="22"/>
        </w:rPr>
      </w:pPr>
      <w:r w:rsidRPr="004D50F2">
        <w:rPr>
          <w:rFonts w:ascii="Arial" w:eastAsia="Arial Unicode MS" w:hAnsi="Arial" w:cs="Arial"/>
          <w:sz w:val="22"/>
          <w:szCs w:val="22"/>
        </w:rPr>
        <w:t>Specialist Homelessness Services report that they cannot keep up with the demand for housing and support services for young people in the Municipality (City of Whittlesea Human Services Needs Analysis 2013). The Specialist Homelessness Service system provides statewide services to people who are homeless; including youth aged 16 – 24 years.</w:t>
      </w:r>
    </w:p>
    <w:p w:rsidR="004D50F2" w:rsidRPr="004D50F2" w:rsidRDefault="004D50F2" w:rsidP="004D50F2">
      <w:pPr>
        <w:spacing w:line="280" w:lineRule="atLeast"/>
        <w:contextualSpacing/>
        <w:jc w:val="both"/>
        <w:rPr>
          <w:rFonts w:ascii="Arial" w:eastAsia="Arial Unicode MS" w:hAnsi="Arial" w:cs="Arial"/>
          <w:sz w:val="22"/>
          <w:szCs w:val="22"/>
        </w:rPr>
      </w:pPr>
    </w:p>
    <w:p w:rsidR="004D50F2" w:rsidRPr="004D50F2" w:rsidRDefault="004D50F2" w:rsidP="004D50F2">
      <w:pPr>
        <w:spacing w:line="280" w:lineRule="atLeast"/>
        <w:contextualSpacing/>
        <w:jc w:val="both"/>
        <w:rPr>
          <w:rFonts w:ascii="Arial" w:eastAsia="Arial Unicode MS" w:hAnsi="Arial" w:cs="Arial"/>
          <w:sz w:val="22"/>
          <w:szCs w:val="22"/>
        </w:rPr>
      </w:pPr>
      <w:r w:rsidRPr="004D50F2">
        <w:rPr>
          <w:rFonts w:ascii="Arial" w:eastAsia="Arial Unicode MS" w:hAnsi="Arial" w:cs="Arial"/>
          <w:sz w:val="22"/>
          <w:szCs w:val="22"/>
        </w:rPr>
        <w:t>The full local extent of young people’s homelessness has not been thoroughly determined. However all specialist Homelessness Services report that they cannot keep up with demand for housing and support services for young people in the Municipality</w:t>
      </w:r>
      <w:r w:rsidRPr="004D50F2">
        <w:rPr>
          <w:rFonts w:ascii="Arial" w:eastAsia="Arial Unicode MS" w:hAnsi="Arial" w:cs="Arial"/>
          <w:sz w:val="22"/>
          <w:szCs w:val="22"/>
          <w:vertAlign w:val="superscript"/>
        </w:rPr>
        <w:endnoteReference w:id="1"/>
      </w:r>
      <w:r w:rsidRPr="004D50F2">
        <w:rPr>
          <w:rFonts w:ascii="Arial" w:eastAsia="Arial Unicode MS" w:hAnsi="Arial" w:cs="Arial"/>
          <w:sz w:val="22"/>
          <w:szCs w:val="22"/>
        </w:rPr>
        <w:t xml:space="preserve">. Local housing for young people is difficult to obtain in the private rental market due to a lack of affordable housing and high competition for rental properties. Young people who are homeless are usually living below the poverty line on </w:t>
      </w:r>
      <w:proofErr w:type="spellStart"/>
      <w:r w:rsidRPr="004D50F2">
        <w:rPr>
          <w:rFonts w:ascii="Arial" w:eastAsia="Arial Unicode MS" w:hAnsi="Arial" w:cs="Arial"/>
          <w:sz w:val="22"/>
          <w:szCs w:val="22"/>
        </w:rPr>
        <w:t>Centrelink</w:t>
      </w:r>
      <w:proofErr w:type="spellEnd"/>
      <w:r w:rsidRPr="004D50F2">
        <w:rPr>
          <w:rFonts w:ascii="Arial" w:eastAsia="Arial Unicode MS" w:hAnsi="Arial" w:cs="Arial"/>
          <w:sz w:val="22"/>
          <w:szCs w:val="22"/>
        </w:rPr>
        <w:t xml:space="preserve"> benefits, as they do not have families to support them. While the Homelessness Service System does its best to respond to the needs of homeless young people, longer term housing and support models are required to reduce reliance on service systems into adulthood. Significant population growth of young people in the City of Whittlesea is likely to further exacerbate this issue, with an estimated 38,400 young people aged 16 – 24 years expected to be living in the municipally by 2024 an increase of 5,300 people from 2014</w:t>
      </w:r>
      <w:r w:rsidRPr="004D50F2">
        <w:rPr>
          <w:rFonts w:ascii="Arial" w:eastAsia="Arial Unicode MS" w:hAnsi="Arial" w:cs="Arial"/>
          <w:sz w:val="22"/>
          <w:szCs w:val="22"/>
          <w:vertAlign w:val="superscript"/>
        </w:rPr>
        <w:endnoteReference w:id="2"/>
      </w:r>
      <w:r w:rsidRPr="004D50F2">
        <w:rPr>
          <w:rFonts w:ascii="Arial" w:eastAsia="Arial Unicode MS" w:hAnsi="Arial" w:cs="Arial"/>
          <w:sz w:val="22"/>
          <w:szCs w:val="22"/>
        </w:rPr>
        <w:t xml:space="preserve">. </w:t>
      </w:r>
    </w:p>
    <w:p w:rsidR="004D50F2" w:rsidRPr="004D50F2" w:rsidRDefault="004D50F2" w:rsidP="004D50F2">
      <w:pPr>
        <w:spacing w:line="280" w:lineRule="atLeast"/>
        <w:contextualSpacing/>
        <w:jc w:val="both"/>
        <w:rPr>
          <w:rFonts w:ascii="Arial" w:eastAsia="Arial Unicode MS" w:hAnsi="Arial" w:cs="Arial"/>
          <w:b/>
          <w:sz w:val="22"/>
          <w:szCs w:val="22"/>
        </w:rPr>
      </w:pPr>
    </w:p>
    <w:p w:rsidR="004D50F2" w:rsidRDefault="004D50F2" w:rsidP="004D50F2">
      <w:pPr>
        <w:spacing w:line="280" w:lineRule="atLeast"/>
        <w:contextualSpacing/>
        <w:jc w:val="both"/>
        <w:rPr>
          <w:rFonts w:ascii="Arial" w:eastAsia="Calibri" w:hAnsi="Arial" w:cs="Arial"/>
          <w:b/>
          <w:color w:val="0070C0"/>
          <w:sz w:val="22"/>
          <w:szCs w:val="22"/>
          <w:lang w:val="en-AU"/>
        </w:rPr>
      </w:pPr>
      <w:r w:rsidRPr="004D50F2">
        <w:rPr>
          <w:rFonts w:ascii="Arial" w:eastAsia="Calibri" w:hAnsi="Arial" w:cs="Arial"/>
          <w:b/>
          <w:color w:val="0070C0"/>
          <w:sz w:val="22"/>
          <w:szCs w:val="22"/>
          <w:lang w:val="en-AU"/>
        </w:rPr>
        <w:t>What is youth supported accommodation?</w:t>
      </w:r>
    </w:p>
    <w:p w:rsidR="004D50F2" w:rsidRPr="004D50F2" w:rsidRDefault="004D50F2" w:rsidP="004D50F2">
      <w:pPr>
        <w:spacing w:line="280" w:lineRule="atLeast"/>
        <w:contextualSpacing/>
        <w:jc w:val="both"/>
        <w:rPr>
          <w:rFonts w:ascii="Arial" w:eastAsia="Calibri" w:hAnsi="Arial" w:cs="Arial"/>
          <w:b/>
          <w:color w:val="0070C0"/>
          <w:sz w:val="22"/>
          <w:szCs w:val="22"/>
          <w:lang w:val="en-AU"/>
        </w:rPr>
      </w:pPr>
    </w:p>
    <w:p w:rsidR="004D50F2" w:rsidRPr="004D50F2" w:rsidRDefault="004D50F2" w:rsidP="004D50F2">
      <w:pPr>
        <w:spacing w:line="280" w:lineRule="atLeast"/>
        <w:contextualSpacing/>
        <w:jc w:val="both"/>
        <w:rPr>
          <w:rFonts w:ascii="Arial" w:eastAsia="Arial Unicode MS" w:hAnsi="Arial" w:cs="Arial"/>
          <w:sz w:val="22"/>
          <w:szCs w:val="22"/>
        </w:rPr>
      </w:pPr>
      <w:r w:rsidRPr="004D50F2">
        <w:rPr>
          <w:rFonts w:ascii="Arial" w:eastAsia="Arial Unicode MS" w:hAnsi="Arial" w:cs="Arial"/>
          <w:sz w:val="22"/>
          <w:szCs w:val="22"/>
        </w:rPr>
        <w:t xml:space="preserve">Youth supported accommodation is based around the successful Foyer-like model of housing and support for young people with an employment, education and training focus. It comprises of a number of semi-detached units with on-site support for residents from professional staff. The units are located close to transport, schools, shops and community services. This model of social housing has been used widely across France and the UK and is being implemented in Australia with approximately ten housing projects currently operating in Victoria. The model works with young people aged 16 – 24 years who are homeless or at risk of homelessness, to keep them in their local communities.  It has a focus on employment, education and training, living skills development, maintaining sustainable tenancies and citizen participation.  Young people can stay in the units for up to two years and receive outreach support for a further 12 months if needed.  </w:t>
      </w:r>
    </w:p>
    <w:p w:rsidR="004D50F2" w:rsidRPr="004D50F2" w:rsidRDefault="004D50F2" w:rsidP="004D50F2">
      <w:pPr>
        <w:spacing w:line="280" w:lineRule="atLeast"/>
        <w:contextualSpacing/>
        <w:jc w:val="both"/>
        <w:rPr>
          <w:rFonts w:ascii="Arial" w:eastAsia="Arial Unicode MS" w:hAnsi="Arial" w:cs="Arial"/>
          <w:b/>
          <w:sz w:val="22"/>
          <w:szCs w:val="22"/>
        </w:rPr>
      </w:pPr>
    </w:p>
    <w:p w:rsidR="004D50F2" w:rsidRPr="004D50F2" w:rsidRDefault="004D50F2" w:rsidP="004D50F2">
      <w:pPr>
        <w:spacing w:line="280" w:lineRule="atLeast"/>
        <w:contextualSpacing/>
        <w:jc w:val="both"/>
        <w:rPr>
          <w:rFonts w:ascii="Arial" w:eastAsia="Calibri" w:hAnsi="Arial" w:cs="Arial"/>
          <w:b/>
          <w:color w:val="0070C0"/>
          <w:sz w:val="22"/>
          <w:szCs w:val="22"/>
          <w:lang w:val="en-AU"/>
        </w:rPr>
      </w:pPr>
      <w:r w:rsidRPr="004D50F2">
        <w:rPr>
          <w:rFonts w:ascii="Arial" w:eastAsia="Calibri" w:hAnsi="Arial" w:cs="Arial"/>
          <w:b/>
          <w:color w:val="0070C0"/>
          <w:sz w:val="22"/>
          <w:szCs w:val="22"/>
          <w:lang w:val="en-AU"/>
        </w:rPr>
        <w:br w:type="page"/>
      </w:r>
    </w:p>
    <w:p w:rsidR="004D50F2" w:rsidRDefault="004D50F2" w:rsidP="004D50F2">
      <w:pPr>
        <w:spacing w:line="280" w:lineRule="atLeast"/>
        <w:contextualSpacing/>
        <w:jc w:val="both"/>
        <w:rPr>
          <w:rFonts w:ascii="Arial" w:eastAsia="Calibri" w:hAnsi="Arial" w:cs="Arial"/>
          <w:b/>
          <w:color w:val="0070C0"/>
          <w:sz w:val="22"/>
          <w:szCs w:val="22"/>
          <w:lang w:val="en-AU"/>
        </w:rPr>
      </w:pPr>
    </w:p>
    <w:p w:rsidR="004D50F2" w:rsidRDefault="004D50F2" w:rsidP="004D50F2">
      <w:pPr>
        <w:spacing w:line="280" w:lineRule="atLeast"/>
        <w:contextualSpacing/>
        <w:jc w:val="both"/>
        <w:rPr>
          <w:rFonts w:ascii="Arial" w:eastAsia="Calibri" w:hAnsi="Arial" w:cs="Arial"/>
          <w:b/>
          <w:color w:val="0070C0"/>
          <w:sz w:val="22"/>
          <w:szCs w:val="22"/>
          <w:lang w:val="en-AU"/>
        </w:rPr>
      </w:pPr>
    </w:p>
    <w:p w:rsidR="004D50F2" w:rsidRDefault="004D50F2" w:rsidP="004D50F2">
      <w:pPr>
        <w:spacing w:line="280" w:lineRule="atLeast"/>
        <w:contextualSpacing/>
        <w:jc w:val="both"/>
        <w:rPr>
          <w:rFonts w:ascii="Arial" w:eastAsia="Calibri" w:hAnsi="Arial" w:cs="Arial"/>
          <w:b/>
          <w:color w:val="0070C0"/>
          <w:sz w:val="22"/>
          <w:szCs w:val="22"/>
          <w:lang w:val="en-AU"/>
        </w:rPr>
      </w:pPr>
    </w:p>
    <w:p w:rsidR="004D50F2" w:rsidRPr="004D50F2" w:rsidRDefault="004D50F2" w:rsidP="004D50F2">
      <w:pPr>
        <w:spacing w:line="280" w:lineRule="atLeast"/>
        <w:contextualSpacing/>
        <w:jc w:val="both"/>
        <w:rPr>
          <w:rFonts w:ascii="Arial" w:eastAsia="Calibri" w:hAnsi="Arial" w:cs="Arial"/>
          <w:b/>
          <w:color w:val="0070C0"/>
          <w:sz w:val="22"/>
          <w:szCs w:val="22"/>
          <w:lang w:val="en-AU"/>
        </w:rPr>
      </w:pPr>
      <w:r w:rsidRPr="004D50F2">
        <w:rPr>
          <w:rFonts w:ascii="Arial" w:eastAsia="Calibri" w:hAnsi="Arial" w:cs="Arial"/>
          <w:b/>
          <w:color w:val="0070C0"/>
          <w:sz w:val="22"/>
          <w:szCs w:val="22"/>
          <w:lang w:val="en-AU"/>
        </w:rPr>
        <w:t>Why locate youth supported accommodation in the South Morang Civic Precinct?</w:t>
      </w:r>
    </w:p>
    <w:p w:rsidR="004D50F2" w:rsidRDefault="004D50F2" w:rsidP="004D50F2">
      <w:pPr>
        <w:spacing w:line="280" w:lineRule="atLeast"/>
        <w:contextualSpacing/>
        <w:jc w:val="both"/>
        <w:rPr>
          <w:rFonts w:ascii="Arial" w:eastAsia="Arial Unicode MS" w:hAnsi="Arial" w:cs="Arial"/>
          <w:sz w:val="22"/>
          <w:szCs w:val="22"/>
        </w:rPr>
      </w:pPr>
    </w:p>
    <w:p w:rsidR="004D50F2" w:rsidRPr="004D50F2" w:rsidRDefault="004D50F2" w:rsidP="004D50F2">
      <w:pPr>
        <w:spacing w:line="280" w:lineRule="atLeast"/>
        <w:contextualSpacing/>
        <w:jc w:val="both"/>
        <w:rPr>
          <w:rFonts w:ascii="Arial" w:eastAsia="Arial Unicode MS" w:hAnsi="Arial" w:cs="Arial"/>
          <w:sz w:val="22"/>
          <w:szCs w:val="22"/>
        </w:rPr>
      </w:pPr>
      <w:r w:rsidRPr="004D50F2">
        <w:rPr>
          <w:rFonts w:ascii="Arial" w:eastAsia="Arial Unicode MS" w:hAnsi="Arial" w:cs="Arial"/>
          <w:sz w:val="22"/>
          <w:szCs w:val="22"/>
        </w:rPr>
        <w:t>The South Morang Civic Precinct development offers an excellent opportunity to locate a youth supported accommodation facility of ten units (seven one-bedroom and three two-bedroom) in the outer area of the City of Whittlesea, centrally located to social support services, education services and recreation opportunities for young people.  The new Super Clinic at South Morang (located in close proximity to the Civic Precinct) provides an excellent opportunity to develop coordinated youth mental health responses that align with a housing and employment pathway, so young homeless people in the area can remain connected to their communities.</w:t>
      </w:r>
    </w:p>
    <w:p w:rsidR="004D50F2" w:rsidRPr="004D50F2" w:rsidRDefault="004D50F2" w:rsidP="004D50F2">
      <w:pPr>
        <w:spacing w:line="280" w:lineRule="atLeast"/>
        <w:contextualSpacing/>
        <w:jc w:val="both"/>
        <w:rPr>
          <w:rFonts w:ascii="Arial" w:eastAsia="Arial Unicode MS" w:hAnsi="Arial" w:cs="Arial"/>
          <w:b/>
          <w:sz w:val="22"/>
          <w:szCs w:val="22"/>
        </w:rPr>
      </w:pPr>
    </w:p>
    <w:p w:rsidR="004D50F2" w:rsidRDefault="004D50F2" w:rsidP="004D50F2">
      <w:pPr>
        <w:spacing w:line="280" w:lineRule="atLeast"/>
        <w:contextualSpacing/>
        <w:jc w:val="both"/>
        <w:rPr>
          <w:rFonts w:ascii="Arial" w:eastAsia="Calibri" w:hAnsi="Arial" w:cs="Arial"/>
          <w:b/>
          <w:color w:val="0070C0"/>
          <w:sz w:val="22"/>
          <w:szCs w:val="22"/>
          <w:lang w:val="en-AU"/>
        </w:rPr>
      </w:pPr>
      <w:r w:rsidRPr="004D50F2">
        <w:rPr>
          <w:rFonts w:ascii="Arial" w:eastAsia="Calibri" w:hAnsi="Arial" w:cs="Arial"/>
          <w:b/>
          <w:color w:val="0070C0"/>
          <w:sz w:val="22"/>
          <w:szCs w:val="22"/>
          <w:lang w:val="en-AU"/>
        </w:rPr>
        <w:t>How much will it cost?</w:t>
      </w:r>
    </w:p>
    <w:p w:rsidR="004D50F2" w:rsidRPr="004D50F2" w:rsidRDefault="004D50F2" w:rsidP="004D50F2">
      <w:pPr>
        <w:spacing w:line="280" w:lineRule="atLeast"/>
        <w:contextualSpacing/>
        <w:jc w:val="both"/>
        <w:rPr>
          <w:rFonts w:ascii="Arial" w:eastAsia="Calibri" w:hAnsi="Arial" w:cs="Arial"/>
          <w:b/>
          <w:color w:val="0070C0"/>
          <w:sz w:val="22"/>
          <w:szCs w:val="22"/>
          <w:lang w:val="en-AU"/>
        </w:rPr>
      </w:pPr>
    </w:p>
    <w:p w:rsidR="004D50F2" w:rsidRDefault="004D50F2" w:rsidP="004D50F2">
      <w:pPr>
        <w:spacing w:line="280" w:lineRule="atLeast"/>
        <w:contextualSpacing/>
        <w:jc w:val="both"/>
        <w:rPr>
          <w:rFonts w:ascii="Arial" w:eastAsia="Arial Unicode MS" w:hAnsi="Arial" w:cs="Arial"/>
          <w:sz w:val="22"/>
          <w:szCs w:val="22"/>
        </w:rPr>
      </w:pPr>
      <w:r w:rsidRPr="004D50F2">
        <w:rPr>
          <w:rFonts w:ascii="Arial" w:eastAsia="Arial Unicode MS" w:hAnsi="Arial" w:cs="Arial"/>
          <w:sz w:val="22"/>
          <w:szCs w:val="22"/>
        </w:rPr>
        <w:t>This proposal includes fifteen units (ten one-bedroom for singles and five two-bedroom for young families) at a cost of $250K each for the singles and $285K each for the two bedroom properties, a total capital cost of approximately $4.983M. The facility would also include meeting spaces and an office space to assist in the provision of services for residents. The project would require establishment funds of $170K and recurrent annual funding of approximately $888K.  Partners in the development would include specialist homelessness services, mental health services and education and employment services.</w:t>
      </w:r>
    </w:p>
    <w:p w:rsidR="004D50F2" w:rsidRPr="004D50F2" w:rsidRDefault="004D50F2" w:rsidP="004D50F2">
      <w:pPr>
        <w:spacing w:line="280" w:lineRule="atLeast"/>
        <w:contextualSpacing/>
        <w:jc w:val="both"/>
        <w:rPr>
          <w:rFonts w:ascii="Arial" w:eastAsia="Arial Unicode MS" w:hAnsi="Arial" w:cs="Arial"/>
          <w:sz w:val="22"/>
          <w:szCs w:val="22"/>
        </w:rPr>
      </w:pPr>
    </w:p>
    <w:p w:rsidR="004D50F2" w:rsidRPr="004D50F2" w:rsidRDefault="004D50F2" w:rsidP="004D50F2">
      <w:pPr>
        <w:spacing w:line="280" w:lineRule="atLeast"/>
        <w:contextualSpacing/>
        <w:jc w:val="both"/>
        <w:rPr>
          <w:rFonts w:ascii="Arial" w:eastAsia="Arial Unicode MS" w:hAnsi="Arial" w:cs="Arial"/>
          <w:sz w:val="22"/>
          <w:szCs w:val="22"/>
        </w:rPr>
      </w:pPr>
    </w:p>
    <w:tbl>
      <w:tblPr>
        <w:tblW w:w="9191" w:type="dxa"/>
        <w:tblInd w:w="93" w:type="dxa"/>
        <w:tblLook w:val="04A0" w:firstRow="1" w:lastRow="0" w:firstColumn="1" w:lastColumn="0" w:noHBand="0" w:noVBand="1"/>
      </w:tblPr>
      <w:tblGrid>
        <w:gridCol w:w="4835"/>
        <w:gridCol w:w="2410"/>
        <w:gridCol w:w="1946"/>
      </w:tblGrid>
      <w:tr w:rsidR="004D50F2" w:rsidRPr="004D50F2" w:rsidTr="00832EE8">
        <w:trPr>
          <w:trHeight w:val="459"/>
        </w:trPr>
        <w:tc>
          <w:tcPr>
            <w:tcW w:w="4835" w:type="dxa"/>
            <w:tcBorders>
              <w:top w:val="single" w:sz="8" w:space="0" w:color="auto"/>
              <w:left w:val="nil"/>
              <w:bottom w:val="single" w:sz="8" w:space="0" w:color="auto"/>
              <w:right w:val="nil"/>
            </w:tcBorders>
            <w:shd w:val="clear" w:color="auto" w:fill="auto"/>
            <w:vAlign w:val="center"/>
            <w:hideMark/>
          </w:tcPr>
          <w:p w:rsidR="004D50F2" w:rsidRPr="004D50F2" w:rsidRDefault="004D50F2" w:rsidP="004D50F2">
            <w:pPr>
              <w:spacing w:line="280" w:lineRule="atLeast"/>
              <w:contextualSpacing/>
              <w:jc w:val="center"/>
              <w:rPr>
                <w:rFonts w:ascii="Arial" w:eastAsia="Times New Roman" w:hAnsi="Arial" w:cs="Arial"/>
                <w:b/>
                <w:bCs/>
                <w:color w:val="000000"/>
                <w:sz w:val="22"/>
                <w:szCs w:val="22"/>
                <w:lang w:val="en-AU"/>
              </w:rPr>
            </w:pPr>
            <w:r w:rsidRPr="004D50F2">
              <w:rPr>
                <w:rFonts w:ascii="Arial" w:eastAsia="Times New Roman" w:hAnsi="Arial" w:cs="Arial"/>
                <w:b/>
                <w:bCs/>
                <w:color w:val="000000"/>
                <w:sz w:val="22"/>
                <w:szCs w:val="22"/>
                <w:lang w:val="en-AU"/>
              </w:rPr>
              <w:t xml:space="preserve">Project Elements </w:t>
            </w:r>
            <w:r w:rsidRPr="004D50F2">
              <w:rPr>
                <w:rFonts w:ascii="Arial" w:eastAsia="Times New Roman" w:hAnsi="Arial" w:cs="Arial"/>
                <w:color w:val="000000"/>
                <w:sz w:val="22"/>
                <w:szCs w:val="22"/>
                <w:vertAlign w:val="superscript"/>
                <w:lang w:val="en-AU"/>
              </w:rPr>
              <w:t>ii</w:t>
            </w:r>
          </w:p>
        </w:tc>
        <w:tc>
          <w:tcPr>
            <w:tcW w:w="2410" w:type="dxa"/>
            <w:tcBorders>
              <w:top w:val="single" w:sz="8" w:space="0" w:color="auto"/>
              <w:left w:val="nil"/>
              <w:bottom w:val="single" w:sz="8" w:space="0" w:color="auto"/>
              <w:right w:val="nil"/>
            </w:tcBorders>
            <w:shd w:val="clear" w:color="auto" w:fill="auto"/>
            <w:vAlign w:val="center"/>
            <w:hideMark/>
          </w:tcPr>
          <w:p w:rsidR="004D50F2" w:rsidRPr="004D50F2" w:rsidRDefault="004D50F2" w:rsidP="004D50F2">
            <w:pPr>
              <w:spacing w:line="280" w:lineRule="atLeast"/>
              <w:contextualSpacing/>
              <w:jc w:val="center"/>
              <w:rPr>
                <w:rFonts w:ascii="Arial" w:eastAsia="Times New Roman" w:hAnsi="Arial" w:cs="Arial"/>
                <w:b/>
                <w:bCs/>
                <w:color w:val="000000"/>
                <w:sz w:val="22"/>
                <w:szCs w:val="22"/>
                <w:lang w:val="en-AU"/>
              </w:rPr>
            </w:pPr>
            <w:r w:rsidRPr="004D50F2">
              <w:rPr>
                <w:rFonts w:ascii="Arial" w:eastAsia="Times New Roman" w:hAnsi="Arial" w:cs="Arial"/>
                <w:b/>
                <w:bCs/>
                <w:color w:val="000000"/>
                <w:sz w:val="22"/>
                <w:szCs w:val="22"/>
                <w:lang w:val="en-AU"/>
              </w:rPr>
              <w:t>Development</w:t>
            </w:r>
          </w:p>
        </w:tc>
        <w:tc>
          <w:tcPr>
            <w:tcW w:w="1946" w:type="dxa"/>
            <w:tcBorders>
              <w:top w:val="single" w:sz="8" w:space="0" w:color="auto"/>
              <w:left w:val="nil"/>
              <w:bottom w:val="single" w:sz="8" w:space="0" w:color="auto"/>
              <w:right w:val="nil"/>
            </w:tcBorders>
            <w:shd w:val="clear" w:color="auto" w:fill="auto"/>
            <w:vAlign w:val="center"/>
            <w:hideMark/>
          </w:tcPr>
          <w:p w:rsidR="004D50F2" w:rsidRPr="004D50F2" w:rsidRDefault="004D50F2" w:rsidP="004D50F2">
            <w:pPr>
              <w:spacing w:line="280" w:lineRule="atLeast"/>
              <w:contextualSpacing/>
              <w:jc w:val="center"/>
              <w:rPr>
                <w:rFonts w:ascii="Arial" w:eastAsia="Times New Roman" w:hAnsi="Arial" w:cs="Arial"/>
                <w:b/>
                <w:bCs/>
                <w:color w:val="000000"/>
                <w:sz w:val="22"/>
                <w:szCs w:val="22"/>
                <w:lang w:val="en-AU"/>
              </w:rPr>
            </w:pPr>
            <w:r w:rsidRPr="004D50F2">
              <w:rPr>
                <w:rFonts w:ascii="Arial" w:eastAsia="Times New Roman" w:hAnsi="Arial" w:cs="Arial"/>
                <w:b/>
                <w:bCs/>
                <w:color w:val="000000"/>
                <w:sz w:val="22"/>
                <w:szCs w:val="22"/>
                <w:lang w:val="en-AU"/>
              </w:rPr>
              <w:t>Total</w:t>
            </w:r>
          </w:p>
        </w:tc>
      </w:tr>
      <w:tr w:rsidR="004D50F2" w:rsidRPr="004D50F2" w:rsidTr="00832EE8">
        <w:trPr>
          <w:trHeight w:val="368"/>
        </w:trPr>
        <w:tc>
          <w:tcPr>
            <w:tcW w:w="4835" w:type="dxa"/>
            <w:tcBorders>
              <w:top w:val="nil"/>
              <w:left w:val="nil"/>
              <w:bottom w:val="nil"/>
              <w:right w:val="nil"/>
            </w:tcBorders>
            <w:shd w:val="clear" w:color="000000" w:fill="C0C0C0"/>
            <w:vAlign w:val="center"/>
            <w:hideMark/>
          </w:tcPr>
          <w:p w:rsidR="004D50F2" w:rsidRPr="004D50F2" w:rsidRDefault="004D50F2" w:rsidP="004D50F2">
            <w:pPr>
              <w:spacing w:line="280" w:lineRule="atLeast"/>
              <w:contextualSpacing/>
              <w:rPr>
                <w:rFonts w:ascii="Arial" w:eastAsia="Times New Roman" w:hAnsi="Arial" w:cs="Arial"/>
                <w:b/>
                <w:bCs/>
                <w:color w:val="000000"/>
                <w:sz w:val="22"/>
                <w:szCs w:val="22"/>
                <w:lang w:val="en-AU"/>
              </w:rPr>
            </w:pPr>
            <w:r w:rsidRPr="004D50F2">
              <w:rPr>
                <w:rFonts w:ascii="Arial" w:eastAsia="Times New Roman" w:hAnsi="Arial" w:cs="Arial"/>
                <w:b/>
                <w:bCs/>
                <w:color w:val="000000"/>
                <w:sz w:val="22"/>
                <w:szCs w:val="22"/>
                <w:lang w:val="en-AU"/>
              </w:rPr>
              <w:t xml:space="preserve">Capital Cost per Unit </w:t>
            </w:r>
          </w:p>
        </w:tc>
        <w:tc>
          <w:tcPr>
            <w:tcW w:w="2410" w:type="dxa"/>
            <w:vMerge w:val="restart"/>
            <w:tcBorders>
              <w:top w:val="nil"/>
              <w:left w:val="nil"/>
              <w:bottom w:val="nil"/>
              <w:right w:val="nil"/>
            </w:tcBorders>
            <w:shd w:val="clear" w:color="000000" w:fill="BFBFBF"/>
            <w:vAlign w:val="center"/>
            <w:hideMark/>
          </w:tcPr>
          <w:p w:rsidR="004D50F2" w:rsidRPr="004D50F2" w:rsidRDefault="004D50F2" w:rsidP="004D50F2">
            <w:pPr>
              <w:spacing w:line="280" w:lineRule="atLeast"/>
              <w:contextualSpacing/>
              <w:jc w:val="center"/>
              <w:rPr>
                <w:rFonts w:ascii="Arial" w:eastAsia="Times New Roman" w:hAnsi="Arial" w:cs="Arial"/>
                <w:color w:val="000000"/>
                <w:sz w:val="22"/>
                <w:szCs w:val="22"/>
                <w:lang w:val="en-AU"/>
              </w:rPr>
            </w:pPr>
            <w:r w:rsidRPr="004D50F2">
              <w:rPr>
                <w:rFonts w:ascii="Arial" w:eastAsia="Times New Roman" w:hAnsi="Arial" w:cs="Arial"/>
                <w:color w:val="000000"/>
                <w:sz w:val="22"/>
                <w:szCs w:val="22"/>
                <w:lang w:val="en-AU"/>
              </w:rPr>
              <w:t>$3,925,000</w:t>
            </w:r>
          </w:p>
        </w:tc>
        <w:tc>
          <w:tcPr>
            <w:tcW w:w="1946" w:type="dxa"/>
            <w:vMerge w:val="restart"/>
            <w:tcBorders>
              <w:top w:val="nil"/>
              <w:left w:val="nil"/>
              <w:bottom w:val="nil"/>
              <w:right w:val="nil"/>
            </w:tcBorders>
            <w:shd w:val="clear" w:color="000000" w:fill="C0C0C0"/>
            <w:vAlign w:val="center"/>
            <w:hideMark/>
          </w:tcPr>
          <w:p w:rsidR="004D50F2" w:rsidRPr="004D50F2" w:rsidRDefault="004D50F2" w:rsidP="004D50F2">
            <w:pPr>
              <w:spacing w:line="280" w:lineRule="atLeast"/>
              <w:contextualSpacing/>
              <w:jc w:val="center"/>
              <w:rPr>
                <w:rFonts w:ascii="Arial" w:eastAsia="Times New Roman" w:hAnsi="Arial" w:cs="Arial"/>
                <w:color w:val="000000"/>
                <w:sz w:val="22"/>
                <w:szCs w:val="22"/>
                <w:lang w:val="en-AU"/>
              </w:rPr>
            </w:pPr>
            <w:r w:rsidRPr="004D50F2">
              <w:rPr>
                <w:rFonts w:ascii="Arial" w:eastAsia="Times New Roman" w:hAnsi="Arial" w:cs="Arial"/>
                <w:color w:val="000000"/>
                <w:sz w:val="22"/>
                <w:szCs w:val="22"/>
                <w:lang w:val="en-AU"/>
              </w:rPr>
              <w:t>$3,925,000</w:t>
            </w:r>
          </w:p>
        </w:tc>
      </w:tr>
      <w:tr w:rsidR="004D50F2" w:rsidRPr="004D50F2" w:rsidTr="00832EE8">
        <w:trPr>
          <w:trHeight w:val="828"/>
        </w:trPr>
        <w:tc>
          <w:tcPr>
            <w:tcW w:w="4835" w:type="dxa"/>
            <w:tcBorders>
              <w:top w:val="nil"/>
              <w:left w:val="nil"/>
              <w:bottom w:val="nil"/>
              <w:right w:val="nil"/>
            </w:tcBorders>
            <w:shd w:val="clear" w:color="000000" w:fill="C0C0C0"/>
            <w:vAlign w:val="center"/>
            <w:hideMark/>
          </w:tcPr>
          <w:p w:rsidR="004D50F2" w:rsidRPr="004D50F2" w:rsidRDefault="004D50F2" w:rsidP="004D50F2">
            <w:pPr>
              <w:spacing w:line="280" w:lineRule="atLeast"/>
              <w:contextualSpacing/>
              <w:rPr>
                <w:rFonts w:ascii="Arial" w:eastAsia="Times New Roman" w:hAnsi="Arial" w:cs="Arial"/>
                <w:color w:val="000000"/>
                <w:sz w:val="22"/>
                <w:szCs w:val="22"/>
                <w:lang w:val="en-AU"/>
              </w:rPr>
            </w:pPr>
            <w:r w:rsidRPr="004D50F2">
              <w:rPr>
                <w:rFonts w:ascii="Arial" w:eastAsia="Times New Roman" w:hAnsi="Arial" w:cs="Arial"/>
                <w:color w:val="000000"/>
                <w:sz w:val="22"/>
                <w:szCs w:val="22"/>
                <w:lang w:val="en-AU"/>
              </w:rPr>
              <w:t>10 x 1BR @ $250,000 each = $2,500,000</w:t>
            </w:r>
          </w:p>
        </w:tc>
        <w:tc>
          <w:tcPr>
            <w:tcW w:w="2410" w:type="dxa"/>
            <w:vMerge/>
            <w:tcBorders>
              <w:top w:val="nil"/>
              <w:left w:val="nil"/>
              <w:bottom w:val="nil"/>
              <w:right w:val="nil"/>
            </w:tcBorders>
            <w:vAlign w:val="center"/>
            <w:hideMark/>
          </w:tcPr>
          <w:p w:rsidR="004D50F2" w:rsidRPr="004D50F2" w:rsidRDefault="004D50F2" w:rsidP="004D50F2">
            <w:pPr>
              <w:spacing w:line="280" w:lineRule="atLeast"/>
              <w:contextualSpacing/>
              <w:rPr>
                <w:rFonts w:ascii="Arial" w:eastAsia="Times New Roman" w:hAnsi="Arial" w:cs="Arial"/>
                <w:color w:val="000000"/>
                <w:sz w:val="22"/>
                <w:szCs w:val="22"/>
                <w:lang w:val="en-AU"/>
              </w:rPr>
            </w:pPr>
          </w:p>
        </w:tc>
        <w:tc>
          <w:tcPr>
            <w:tcW w:w="1946" w:type="dxa"/>
            <w:vMerge/>
            <w:tcBorders>
              <w:top w:val="nil"/>
              <w:left w:val="nil"/>
              <w:bottom w:val="nil"/>
              <w:right w:val="nil"/>
            </w:tcBorders>
            <w:vAlign w:val="center"/>
            <w:hideMark/>
          </w:tcPr>
          <w:p w:rsidR="004D50F2" w:rsidRPr="004D50F2" w:rsidRDefault="004D50F2" w:rsidP="004D50F2">
            <w:pPr>
              <w:spacing w:line="280" w:lineRule="atLeast"/>
              <w:contextualSpacing/>
              <w:rPr>
                <w:rFonts w:ascii="Arial" w:eastAsia="Times New Roman" w:hAnsi="Arial" w:cs="Arial"/>
                <w:color w:val="000000"/>
                <w:sz w:val="22"/>
                <w:szCs w:val="22"/>
                <w:lang w:val="en-AU"/>
              </w:rPr>
            </w:pPr>
          </w:p>
        </w:tc>
      </w:tr>
      <w:tr w:rsidR="004D50F2" w:rsidRPr="004D50F2" w:rsidTr="00832EE8">
        <w:trPr>
          <w:trHeight w:val="81"/>
        </w:trPr>
        <w:tc>
          <w:tcPr>
            <w:tcW w:w="4835" w:type="dxa"/>
            <w:tcBorders>
              <w:top w:val="nil"/>
              <w:left w:val="nil"/>
              <w:bottom w:val="nil"/>
              <w:right w:val="nil"/>
            </w:tcBorders>
            <w:shd w:val="clear" w:color="000000" w:fill="C0C0C0"/>
            <w:vAlign w:val="center"/>
            <w:hideMark/>
          </w:tcPr>
          <w:p w:rsidR="004D50F2" w:rsidRPr="004D50F2" w:rsidRDefault="004D50F2" w:rsidP="004D50F2">
            <w:pPr>
              <w:spacing w:line="280" w:lineRule="atLeast"/>
              <w:contextualSpacing/>
              <w:rPr>
                <w:rFonts w:ascii="Arial" w:eastAsia="Times New Roman" w:hAnsi="Arial" w:cs="Arial"/>
                <w:color w:val="000000"/>
                <w:sz w:val="22"/>
                <w:szCs w:val="22"/>
                <w:lang w:val="en-AU"/>
              </w:rPr>
            </w:pPr>
            <w:r w:rsidRPr="004D50F2">
              <w:rPr>
                <w:rFonts w:ascii="Arial" w:eastAsia="Times New Roman" w:hAnsi="Arial" w:cs="Arial"/>
                <w:color w:val="000000"/>
                <w:sz w:val="22"/>
                <w:szCs w:val="22"/>
                <w:lang w:val="en-AU"/>
              </w:rPr>
              <w:t>5 x 2BR @ $285,000 each = $1,425,000</w:t>
            </w:r>
          </w:p>
        </w:tc>
        <w:tc>
          <w:tcPr>
            <w:tcW w:w="2410" w:type="dxa"/>
            <w:vMerge/>
            <w:tcBorders>
              <w:top w:val="nil"/>
              <w:left w:val="nil"/>
              <w:bottom w:val="nil"/>
              <w:right w:val="nil"/>
            </w:tcBorders>
            <w:vAlign w:val="center"/>
            <w:hideMark/>
          </w:tcPr>
          <w:p w:rsidR="004D50F2" w:rsidRPr="004D50F2" w:rsidRDefault="004D50F2" w:rsidP="004D50F2">
            <w:pPr>
              <w:spacing w:line="280" w:lineRule="atLeast"/>
              <w:contextualSpacing/>
              <w:rPr>
                <w:rFonts w:ascii="Arial" w:eastAsia="Times New Roman" w:hAnsi="Arial" w:cs="Arial"/>
                <w:color w:val="000000"/>
                <w:sz w:val="22"/>
                <w:szCs w:val="22"/>
                <w:lang w:val="en-AU"/>
              </w:rPr>
            </w:pPr>
          </w:p>
        </w:tc>
        <w:tc>
          <w:tcPr>
            <w:tcW w:w="1946" w:type="dxa"/>
            <w:vMerge/>
            <w:tcBorders>
              <w:top w:val="nil"/>
              <w:left w:val="nil"/>
              <w:bottom w:val="nil"/>
              <w:right w:val="nil"/>
            </w:tcBorders>
            <w:vAlign w:val="center"/>
            <w:hideMark/>
          </w:tcPr>
          <w:p w:rsidR="004D50F2" w:rsidRPr="004D50F2" w:rsidRDefault="004D50F2" w:rsidP="004D50F2">
            <w:pPr>
              <w:spacing w:line="280" w:lineRule="atLeast"/>
              <w:contextualSpacing/>
              <w:rPr>
                <w:rFonts w:ascii="Arial" w:eastAsia="Times New Roman" w:hAnsi="Arial" w:cs="Arial"/>
                <w:color w:val="000000"/>
                <w:sz w:val="22"/>
                <w:szCs w:val="22"/>
                <w:lang w:val="en-AU"/>
              </w:rPr>
            </w:pPr>
          </w:p>
        </w:tc>
      </w:tr>
      <w:tr w:rsidR="004D50F2" w:rsidRPr="004D50F2" w:rsidTr="00832EE8">
        <w:trPr>
          <w:trHeight w:val="547"/>
        </w:trPr>
        <w:tc>
          <w:tcPr>
            <w:tcW w:w="4835" w:type="dxa"/>
            <w:tcBorders>
              <w:top w:val="nil"/>
              <w:left w:val="nil"/>
              <w:bottom w:val="nil"/>
              <w:right w:val="nil"/>
            </w:tcBorders>
            <w:shd w:val="clear" w:color="auto" w:fill="auto"/>
            <w:vAlign w:val="center"/>
            <w:hideMark/>
          </w:tcPr>
          <w:p w:rsidR="004D50F2" w:rsidRPr="004D50F2" w:rsidRDefault="004D50F2" w:rsidP="004D50F2">
            <w:pPr>
              <w:spacing w:line="280" w:lineRule="atLeast"/>
              <w:contextualSpacing/>
              <w:rPr>
                <w:rFonts w:ascii="Arial" w:eastAsia="Times New Roman" w:hAnsi="Arial" w:cs="Arial"/>
                <w:b/>
                <w:bCs/>
                <w:color w:val="000000"/>
                <w:sz w:val="22"/>
                <w:szCs w:val="22"/>
                <w:lang w:val="en-AU"/>
              </w:rPr>
            </w:pPr>
            <w:r w:rsidRPr="004D50F2">
              <w:rPr>
                <w:rFonts w:ascii="Arial" w:eastAsia="Times New Roman" w:hAnsi="Arial" w:cs="Arial"/>
                <w:b/>
                <w:bCs/>
                <w:color w:val="000000"/>
                <w:sz w:val="22"/>
                <w:szCs w:val="22"/>
                <w:lang w:val="en-AU"/>
              </w:rPr>
              <w:t>Establishment (one off cost)</w:t>
            </w:r>
          </w:p>
        </w:tc>
        <w:tc>
          <w:tcPr>
            <w:tcW w:w="2410" w:type="dxa"/>
            <w:tcBorders>
              <w:top w:val="nil"/>
              <w:left w:val="nil"/>
              <w:bottom w:val="nil"/>
              <w:right w:val="nil"/>
            </w:tcBorders>
            <w:shd w:val="clear" w:color="auto" w:fill="auto"/>
            <w:vAlign w:val="center"/>
            <w:hideMark/>
          </w:tcPr>
          <w:p w:rsidR="004D50F2" w:rsidRPr="004D50F2" w:rsidRDefault="004D50F2" w:rsidP="004D50F2">
            <w:pPr>
              <w:spacing w:line="280" w:lineRule="atLeast"/>
              <w:contextualSpacing/>
              <w:jc w:val="center"/>
              <w:rPr>
                <w:rFonts w:ascii="Arial" w:eastAsia="Times New Roman" w:hAnsi="Arial" w:cs="Arial"/>
                <w:color w:val="000000"/>
                <w:sz w:val="22"/>
                <w:szCs w:val="22"/>
                <w:lang w:val="en-AU"/>
              </w:rPr>
            </w:pPr>
            <w:r w:rsidRPr="004D50F2">
              <w:rPr>
                <w:rFonts w:ascii="Arial" w:eastAsia="Times New Roman" w:hAnsi="Arial" w:cs="Arial"/>
                <w:color w:val="000000"/>
                <w:sz w:val="22"/>
                <w:szCs w:val="22"/>
                <w:lang w:val="en-AU"/>
              </w:rPr>
              <w:t>$170,000</w:t>
            </w:r>
          </w:p>
        </w:tc>
        <w:tc>
          <w:tcPr>
            <w:tcW w:w="1946" w:type="dxa"/>
            <w:tcBorders>
              <w:top w:val="nil"/>
              <w:left w:val="nil"/>
              <w:bottom w:val="nil"/>
              <w:right w:val="nil"/>
            </w:tcBorders>
            <w:shd w:val="clear" w:color="auto" w:fill="auto"/>
            <w:vAlign w:val="center"/>
            <w:hideMark/>
          </w:tcPr>
          <w:p w:rsidR="004D50F2" w:rsidRPr="004D50F2" w:rsidRDefault="004D50F2" w:rsidP="004D50F2">
            <w:pPr>
              <w:spacing w:line="280" w:lineRule="atLeast"/>
              <w:contextualSpacing/>
              <w:jc w:val="center"/>
              <w:rPr>
                <w:rFonts w:ascii="Arial" w:eastAsia="Times New Roman" w:hAnsi="Arial" w:cs="Arial"/>
                <w:color w:val="000000"/>
                <w:sz w:val="22"/>
                <w:szCs w:val="22"/>
                <w:lang w:val="en-AU"/>
              </w:rPr>
            </w:pPr>
            <w:r w:rsidRPr="004D50F2">
              <w:rPr>
                <w:rFonts w:ascii="Arial" w:eastAsia="Times New Roman" w:hAnsi="Arial" w:cs="Arial"/>
                <w:color w:val="000000"/>
                <w:sz w:val="22"/>
                <w:szCs w:val="22"/>
                <w:lang w:val="en-AU"/>
              </w:rPr>
              <w:t>$170,000</w:t>
            </w:r>
          </w:p>
        </w:tc>
      </w:tr>
      <w:tr w:rsidR="004D50F2" w:rsidRPr="004D50F2" w:rsidTr="00832EE8">
        <w:trPr>
          <w:trHeight w:val="689"/>
        </w:trPr>
        <w:tc>
          <w:tcPr>
            <w:tcW w:w="4835" w:type="dxa"/>
            <w:tcBorders>
              <w:top w:val="nil"/>
              <w:left w:val="nil"/>
              <w:bottom w:val="nil"/>
              <w:right w:val="nil"/>
            </w:tcBorders>
            <w:shd w:val="clear" w:color="000000" w:fill="C0C0C0"/>
            <w:vAlign w:val="center"/>
            <w:hideMark/>
          </w:tcPr>
          <w:p w:rsidR="004D50F2" w:rsidRPr="004D50F2" w:rsidRDefault="004D50F2" w:rsidP="004D50F2">
            <w:pPr>
              <w:spacing w:line="280" w:lineRule="atLeast"/>
              <w:contextualSpacing/>
              <w:rPr>
                <w:rFonts w:ascii="Arial" w:eastAsia="Times New Roman" w:hAnsi="Arial" w:cs="Arial"/>
                <w:b/>
                <w:bCs/>
                <w:color w:val="000000"/>
                <w:sz w:val="22"/>
                <w:szCs w:val="22"/>
                <w:lang w:val="en-AU"/>
              </w:rPr>
            </w:pPr>
            <w:r w:rsidRPr="004D50F2">
              <w:rPr>
                <w:rFonts w:ascii="Arial" w:eastAsia="Times New Roman" w:hAnsi="Arial" w:cs="Arial"/>
                <w:b/>
                <w:bCs/>
                <w:color w:val="000000"/>
                <w:sz w:val="22"/>
                <w:szCs w:val="22"/>
                <w:lang w:val="en-AU"/>
              </w:rPr>
              <w:t xml:space="preserve">Program (recurrent for three years) </w:t>
            </w:r>
          </w:p>
        </w:tc>
        <w:tc>
          <w:tcPr>
            <w:tcW w:w="2410" w:type="dxa"/>
            <w:vMerge w:val="restart"/>
            <w:tcBorders>
              <w:top w:val="nil"/>
              <w:left w:val="nil"/>
              <w:bottom w:val="nil"/>
              <w:right w:val="nil"/>
            </w:tcBorders>
            <w:shd w:val="clear" w:color="000000" w:fill="C0C0C0"/>
            <w:vAlign w:val="center"/>
            <w:hideMark/>
          </w:tcPr>
          <w:p w:rsidR="004D50F2" w:rsidRPr="004D50F2" w:rsidRDefault="004D50F2" w:rsidP="004D50F2">
            <w:pPr>
              <w:spacing w:line="280" w:lineRule="atLeast"/>
              <w:contextualSpacing/>
              <w:jc w:val="center"/>
              <w:rPr>
                <w:rFonts w:ascii="Arial" w:eastAsia="Times New Roman" w:hAnsi="Arial" w:cs="Arial"/>
                <w:color w:val="000000"/>
                <w:sz w:val="22"/>
                <w:szCs w:val="22"/>
                <w:lang w:val="en-AU"/>
              </w:rPr>
            </w:pPr>
            <w:r w:rsidRPr="004D50F2">
              <w:rPr>
                <w:rFonts w:ascii="Arial" w:eastAsia="Times New Roman" w:hAnsi="Arial" w:cs="Arial"/>
                <w:color w:val="000000"/>
                <w:sz w:val="22"/>
                <w:szCs w:val="22"/>
                <w:lang w:val="en-AU"/>
              </w:rPr>
              <w:t>$887,730</w:t>
            </w:r>
          </w:p>
        </w:tc>
        <w:tc>
          <w:tcPr>
            <w:tcW w:w="1946" w:type="dxa"/>
            <w:vMerge w:val="restart"/>
            <w:tcBorders>
              <w:top w:val="nil"/>
              <w:left w:val="nil"/>
              <w:bottom w:val="nil"/>
              <w:right w:val="nil"/>
            </w:tcBorders>
            <w:shd w:val="clear" w:color="000000" w:fill="C0C0C0"/>
            <w:vAlign w:val="center"/>
            <w:hideMark/>
          </w:tcPr>
          <w:p w:rsidR="004D50F2" w:rsidRPr="004D50F2" w:rsidRDefault="004D50F2" w:rsidP="004D50F2">
            <w:pPr>
              <w:spacing w:line="280" w:lineRule="atLeast"/>
              <w:contextualSpacing/>
              <w:jc w:val="center"/>
              <w:rPr>
                <w:rFonts w:ascii="Arial" w:eastAsia="Times New Roman" w:hAnsi="Arial" w:cs="Arial"/>
                <w:color w:val="000000"/>
                <w:sz w:val="22"/>
                <w:szCs w:val="22"/>
                <w:lang w:val="en-AU"/>
              </w:rPr>
            </w:pPr>
            <w:r w:rsidRPr="004D50F2">
              <w:rPr>
                <w:rFonts w:ascii="Arial" w:eastAsia="Times New Roman" w:hAnsi="Arial" w:cs="Arial"/>
                <w:color w:val="000000"/>
                <w:sz w:val="22"/>
                <w:szCs w:val="22"/>
                <w:lang w:val="en-AU"/>
              </w:rPr>
              <w:t>$2,663,190</w:t>
            </w:r>
          </w:p>
        </w:tc>
      </w:tr>
      <w:tr w:rsidR="004D50F2" w:rsidRPr="004D50F2" w:rsidTr="00832EE8">
        <w:trPr>
          <w:trHeight w:val="66"/>
        </w:trPr>
        <w:tc>
          <w:tcPr>
            <w:tcW w:w="4835" w:type="dxa"/>
            <w:tcBorders>
              <w:top w:val="nil"/>
              <w:left w:val="nil"/>
              <w:bottom w:val="nil"/>
              <w:right w:val="nil"/>
            </w:tcBorders>
            <w:shd w:val="clear" w:color="000000" w:fill="C0C0C0"/>
            <w:vAlign w:val="center"/>
            <w:hideMark/>
          </w:tcPr>
          <w:p w:rsidR="004D50F2" w:rsidRPr="004D50F2" w:rsidRDefault="004D50F2" w:rsidP="004D50F2">
            <w:pPr>
              <w:spacing w:line="280" w:lineRule="atLeast"/>
              <w:contextualSpacing/>
              <w:rPr>
                <w:rFonts w:ascii="Arial" w:eastAsia="Times New Roman" w:hAnsi="Arial" w:cs="Arial"/>
                <w:color w:val="000000"/>
                <w:sz w:val="22"/>
                <w:szCs w:val="22"/>
                <w:lang w:val="en-AU"/>
              </w:rPr>
            </w:pPr>
            <w:r w:rsidRPr="004D50F2">
              <w:rPr>
                <w:rFonts w:ascii="Arial" w:eastAsia="Times New Roman" w:hAnsi="Arial" w:cs="Arial"/>
                <w:color w:val="000000"/>
                <w:sz w:val="22"/>
                <w:szCs w:val="22"/>
                <w:lang w:val="en-AU"/>
              </w:rPr>
              <w:t>$887,730 x 3 years =  $2,663,190</w:t>
            </w:r>
          </w:p>
        </w:tc>
        <w:tc>
          <w:tcPr>
            <w:tcW w:w="2410" w:type="dxa"/>
            <w:vMerge/>
            <w:tcBorders>
              <w:top w:val="nil"/>
              <w:left w:val="nil"/>
              <w:bottom w:val="nil"/>
              <w:right w:val="nil"/>
            </w:tcBorders>
            <w:vAlign w:val="center"/>
            <w:hideMark/>
          </w:tcPr>
          <w:p w:rsidR="004D50F2" w:rsidRPr="004D50F2" w:rsidRDefault="004D50F2" w:rsidP="004D50F2">
            <w:pPr>
              <w:spacing w:line="280" w:lineRule="atLeast"/>
              <w:contextualSpacing/>
              <w:rPr>
                <w:rFonts w:ascii="Arial" w:eastAsia="Times New Roman" w:hAnsi="Arial" w:cs="Arial"/>
                <w:color w:val="000000"/>
                <w:sz w:val="22"/>
                <w:szCs w:val="22"/>
                <w:lang w:val="en-AU"/>
              </w:rPr>
            </w:pPr>
          </w:p>
        </w:tc>
        <w:tc>
          <w:tcPr>
            <w:tcW w:w="1946" w:type="dxa"/>
            <w:vMerge/>
            <w:tcBorders>
              <w:top w:val="nil"/>
              <w:left w:val="nil"/>
              <w:bottom w:val="nil"/>
              <w:right w:val="nil"/>
            </w:tcBorders>
            <w:vAlign w:val="center"/>
            <w:hideMark/>
          </w:tcPr>
          <w:p w:rsidR="004D50F2" w:rsidRPr="004D50F2" w:rsidRDefault="004D50F2" w:rsidP="004D50F2">
            <w:pPr>
              <w:spacing w:line="280" w:lineRule="atLeast"/>
              <w:contextualSpacing/>
              <w:rPr>
                <w:rFonts w:ascii="Arial" w:eastAsia="Times New Roman" w:hAnsi="Arial" w:cs="Arial"/>
                <w:color w:val="000000"/>
                <w:sz w:val="22"/>
                <w:szCs w:val="22"/>
                <w:lang w:val="en-AU"/>
              </w:rPr>
            </w:pPr>
          </w:p>
        </w:tc>
      </w:tr>
      <w:tr w:rsidR="004D50F2" w:rsidRPr="004D50F2" w:rsidTr="00832EE8">
        <w:trPr>
          <w:trHeight w:val="282"/>
        </w:trPr>
        <w:tc>
          <w:tcPr>
            <w:tcW w:w="4835" w:type="dxa"/>
            <w:tcBorders>
              <w:top w:val="nil"/>
              <w:left w:val="nil"/>
              <w:bottom w:val="single" w:sz="8" w:space="0" w:color="auto"/>
              <w:right w:val="nil"/>
            </w:tcBorders>
            <w:shd w:val="clear" w:color="auto" w:fill="auto"/>
            <w:vAlign w:val="center"/>
            <w:hideMark/>
          </w:tcPr>
          <w:p w:rsidR="004D50F2" w:rsidRPr="004D50F2" w:rsidRDefault="004D50F2" w:rsidP="004D50F2">
            <w:pPr>
              <w:spacing w:line="280" w:lineRule="atLeast"/>
              <w:contextualSpacing/>
              <w:rPr>
                <w:rFonts w:ascii="Arial" w:eastAsia="Times New Roman" w:hAnsi="Arial" w:cs="Arial"/>
                <w:b/>
                <w:bCs/>
                <w:color w:val="000000"/>
                <w:sz w:val="22"/>
                <w:szCs w:val="22"/>
                <w:lang w:val="en-AU"/>
              </w:rPr>
            </w:pPr>
            <w:r w:rsidRPr="004D50F2">
              <w:rPr>
                <w:rFonts w:ascii="Arial" w:eastAsia="Times New Roman" w:hAnsi="Arial" w:cs="Arial"/>
                <w:b/>
                <w:bCs/>
                <w:color w:val="000000"/>
                <w:sz w:val="22"/>
                <w:szCs w:val="22"/>
                <w:lang w:val="en-AU"/>
              </w:rPr>
              <w:t>Grand Total</w:t>
            </w:r>
          </w:p>
        </w:tc>
        <w:tc>
          <w:tcPr>
            <w:tcW w:w="2410" w:type="dxa"/>
            <w:tcBorders>
              <w:top w:val="nil"/>
              <w:left w:val="nil"/>
              <w:bottom w:val="single" w:sz="8" w:space="0" w:color="auto"/>
              <w:right w:val="nil"/>
            </w:tcBorders>
            <w:shd w:val="clear" w:color="auto" w:fill="auto"/>
            <w:vAlign w:val="center"/>
            <w:hideMark/>
          </w:tcPr>
          <w:p w:rsidR="004D50F2" w:rsidRPr="004D50F2" w:rsidRDefault="004D50F2" w:rsidP="004D50F2">
            <w:pPr>
              <w:spacing w:line="280" w:lineRule="atLeast"/>
              <w:contextualSpacing/>
              <w:jc w:val="center"/>
              <w:rPr>
                <w:rFonts w:ascii="Arial" w:eastAsia="Times New Roman" w:hAnsi="Arial" w:cs="Arial"/>
                <w:b/>
                <w:bCs/>
                <w:color w:val="000000"/>
                <w:sz w:val="22"/>
                <w:szCs w:val="22"/>
                <w:lang w:val="en-AU"/>
              </w:rPr>
            </w:pPr>
            <w:r w:rsidRPr="004D50F2">
              <w:rPr>
                <w:rFonts w:ascii="Arial" w:eastAsia="Times New Roman" w:hAnsi="Arial" w:cs="Arial"/>
                <w:b/>
                <w:bCs/>
                <w:color w:val="000000"/>
                <w:sz w:val="22"/>
                <w:szCs w:val="22"/>
                <w:lang w:val="en-AU"/>
              </w:rPr>
              <w:t>$4,982,730</w:t>
            </w:r>
          </w:p>
        </w:tc>
        <w:tc>
          <w:tcPr>
            <w:tcW w:w="1946" w:type="dxa"/>
            <w:tcBorders>
              <w:top w:val="nil"/>
              <w:left w:val="nil"/>
              <w:bottom w:val="single" w:sz="8" w:space="0" w:color="auto"/>
              <w:right w:val="nil"/>
            </w:tcBorders>
            <w:shd w:val="clear" w:color="auto" w:fill="auto"/>
            <w:vAlign w:val="center"/>
            <w:hideMark/>
          </w:tcPr>
          <w:p w:rsidR="004D50F2" w:rsidRPr="004D50F2" w:rsidRDefault="004D50F2" w:rsidP="004D50F2">
            <w:pPr>
              <w:spacing w:line="280" w:lineRule="atLeast"/>
              <w:contextualSpacing/>
              <w:jc w:val="center"/>
              <w:rPr>
                <w:rFonts w:ascii="Arial" w:eastAsia="Times New Roman" w:hAnsi="Arial" w:cs="Arial"/>
                <w:b/>
                <w:bCs/>
                <w:color w:val="000000"/>
                <w:sz w:val="22"/>
                <w:szCs w:val="22"/>
                <w:lang w:val="en-AU"/>
              </w:rPr>
            </w:pPr>
            <w:r w:rsidRPr="004D50F2">
              <w:rPr>
                <w:rFonts w:ascii="Arial" w:eastAsia="Times New Roman" w:hAnsi="Arial" w:cs="Arial"/>
                <w:b/>
                <w:bCs/>
                <w:color w:val="000000"/>
                <w:sz w:val="22"/>
                <w:szCs w:val="22"/>
                <w:lang w:val="en-AU"/>
              </w:rPr>
              <w:t>$6,758,190</w:t>
            </w:r>
          </w:p>
        </w:tc>
      </w:tr>
    </w:tbl>
    <w:p w:rsidR="004D50F2" w:rsidRDefault="004D50F2" w:rsidP="004D50F2">
      <w:pPr>
        <w:spacing w:line="280" w:lineRule="atLeast"/>
        <w:contextualSpacing/>
        <w:jc w:val="both"/>
        <w:rPr>
          <w:rFonts w:ascii="Arial" w:eastAsia="Arial Unicode MS" w:hAnsi="Arial" w:cs="Arial"/>
          <w:sz w:val="22"/>
          <w:szCs w:val="22"/>
        </w:rPr>
      </w:pPr>
    </w:p>
    <w:p w:rsidR="004D50F2" w:rsidRPr="004D50F2" w:rsidRDefault="004D50F2" w:rsidP="004D50F2">
      <w:pPr>
        <w:spacing w:line="280" w:lineRule="atLeast"/>
        <w:contextualSpacing/>
        <w:jc w:val="both"/>
        <w:rPr>
          <w:rFonts w:ascii="Arial" w:eastAsia="Arial Unicode MS" w:hAnsi="Arial" w:cs="Arial"/>
          <w:sz w:val="22"/>
          <w:szCs w:val="22"/>
        </w:rPr>
      </w:pPr>
    </w:p>
    <w:p w:rsidR="004D50F2" w:rsidRPr="004D50F2" w:rsidRDefault="004D50F2" w:rsidP="004D50F2">
      <w:pPr>
        <w:spacing w:line="280" w:lineRule="atLeast"/>
        <w:contextualSpacing/>
        <w:jc w:val="both"/>
        <w:rPr>
          <w:rFonts w:ascii="Arial" w:eastAsia="Arial Unicode MS" w:hAnsi="Arial" w:cs="Arial"/>
          <w:sz w:val="22"/>
          <w:szCs w:val="22"/>
        </w:rPr>
      </w:pPr>
      <w:r w:rsidRPr="004D50F2">
        <w:rPr>
          <w:rFonts w:ascii="Arial" w:eastAsia="Arial Unicode MS" w:hAnsi="Arial" w:cs="Arial"/>
          <w:sz w:val="22"/>
          <w:szCs w:val="22"/>
        </w:rPr>
        <w:t>The cost benefit of this project clearly outweighs the expense with the estimated cost of youth homelessness on the health and criminal justice system being $332,300 per person over a lifetime. Further, the economic cost of educational disadvantage (non-completion of high school) due to becoming homeless is estimated to be around $64,300 per person over the average working life (40 years).</w:t>
      </w:r>
      <w:bookmarkStart w:id="1" w:name="_Ref256369861"/>
      <w:r w:rsidRPr="004D50F2">
        <w:rPr>
          <w:rFonts w:ascii="Arial" w:eastAsia="Arial Unicode MS" w:hAnsi="Arial" w:cs="Arial"/>
          <w:sz w:val="22"/>
          <w:szCs w:val="22"/>
          <w:vertAlign w:val="superscript"/>
        </w:rPr>
        <w:endnoteReference w:id="3"/>
      </w:r>
      <w:bookmarkEnd w:id="1"/>
      <w:r w:rsidRPr="004D50F2">
        <w:rPr>
          <w:rFonts w:ascii="Arial" w:eastAsia="Arial Unicode MS" w:hAnsi="Arial" w:cs="Arial"/>
          <w:sz w:val="22"/>
          <w:szCs w:val="22"/>
        </w:rPr>
        <w:t xml:space="preserve">  Multiply these costs by the first 20 people to use this facility and the savings to the community are around $7.9M. </w:t>
      </w:r>
    </w:p>
    <w:p w:rsidR="004D50F2" w:rsidRPr="004D50F2" w:rsidRDefault="004D50F2" w:rsidP="004D50F2">
      <w:pPr>
        <w:spacing w:line="280" w:lineRule="atLeast"/>
        <w:contextualSpacing/>
        <w:jc w:val="both"/>
        <w:rPr>
          <w:rFonts w:ascii="Arial" w:eastAsia="Arial Unicode MS" w:hAnsi="Arial" w:cs="Arial"/>
          <w:sz w:val="22"/>
          <w:szCs w:val="22"/>
        </w:rPr>
      </w:pPr>
      <w:r w:rsidRPr="004D50F2">
        <w:rPr>
          <w:rFonts w:ascii="Arial" w:eastAsia="Arial Unicode MS" w:hAnsi="Arial" w:cs="Arial"/>
          <w:sz w:val="22"/>
          <w:szCs w:val="22"/>
        </w:rPr>
        <w:t xml:space="preserve">  </w:t>
      </w:r>
    </w:p>
    <w:p w:rsidR="004D50F2" w:rsidRDefault="004D50F2" w:rsidP="004D50F2">
      <w:pPr>
        <w:spacing w:line="280" w:lineRule="atLeast"/>
        <w:contextualSpacing/>
        <w:jc w:val="both"/>
        <w:rPr>
          <w:rFonts w:ascii="Arial" w:eastAsia="Calibri" w:hAnsi="Arial" w:cs="Arial"/>
          <w:b/>
          <w:color w:val="0070C0"/>
          <w:sz w:val="22"/>
          <w:szCs w:val="22"/>
          <w:lang w:val="en-AU"/>
        </w:rPr>
      </w:pPr>
    </w:p>
    <w:p w:rsidR="004D50F2" w:rsidRDefault="004D50F2" w:rsidP="004D50F2">
      <w:pPr>
        <w:spacing w:line="280" w:lineRule="atLeast"/>
        <w:contextualSpacing/>
        <w:jc w:val="both"/>
        <w:rPr>
          <w:rFonts w:ascii="Arial" w:eastAsia="Calibri" w:hAnsi="Arial" w:cs="Arial"/>
          <w:b/>
          <w:color w:val="0070C0"/>
          <w:sz w:val="22"/>
          <w:szCs w:val="22"/>
          <w:lang w:val="en-AU"/>
        </w:rPr>
      </w:pPr>
    </w:p>
    <w:p w:rsidR="004D50F2" w:rsidRDefault="004D50F2" w:rsidP="004D50F2">
      <w:pPr>
        <w:spacing w:line="280" w:lineRule="atLeast"/>
        <w:contextualSpacing/>
        <w:jc w:val="both"/>
        <w:rPr>
          <w:rFonts w:ascii="Arial" w:eastAsia="Calibri" w:hAnsi="Arial" w:cs="Arial"/>
          <w:b/>
          <w:color w:val="0070C0"/>
          <w:sz w:val="22"/>
          <w:szCs w:val="22"/>
          <w:lang w:val="en-AU"/>
        </w:rPr>
      </w:pPr>
    </w:p>
    <w:p w:rsidR="004D50F2" w:rsidRDefault="004D50F2" w:rsidP="004D50F2">
      <w:pPr>
        <w:spacing w:line="280" w:lineRule="atLeast"/>
        <w:contextualSpacing/>
        <w:jc w:val="both"/>
        <w:rPr>
          <w:rFonts w:ascii="Arial" w:eastAsia="Calibri" w:hAnsi="Arial" w:cs="Arial"/>
          <w:b/>
          <w:color w:val="0070C0"/>
          <w:sz w:val="22"/>
          <w:szCs w:val="22"/>
          <w:lang w:val="en-AU"/>
        </w:rPr>
      </w:pPr>
    </w:p>
    <w:p w:rsidR="004D50F2" w:rsidRDefault="004D50F2" w:rsidP="004D50F2">
      <w:pPr>
        <w:spacing w:line="280" w:lineRule="atLeast"/>
        <w:contextualSpacing/>
        <w:jc w:val="both"/>
        <w:rPr>
          <w:rFonts w:ascii="Arial" w:eastAsia="Calibri" w:hAnsi="Arial" w:cs="Arial"/>
          <w:b/>
          <w:color w:val="0070C0"/>
          <w:sz w:val="22"/>
          <w:szCs w:val="22"/>
          <w:lang w:val="en-AU"/>
        </w:rPr>
      </w:pPr>
    </w:p>
    <w:p w:rsidR="004D50F2" w:rsidRDefault="004D50F2" w:rsidP="004D50F2">
      <w:pPr>
        <w:spacing w:line="280" w:lineRule="atLeast"/>
        <w:contextualSpacing/>
        <w:jc w:val="both"/>
        <w:rPr>
          <w:rFonts w:ascii="Arial" w:eastAsia="Calibri" w:hAnsi="Arial" w:cs="Arial"/>
          <w:b/>
          <w:color w:val="0070C0"/>
          <w:sz w:val="22"/>
          <w:szCs w:val="22"/>
          <w:lang w:val="en-AU"/>
        </w:rPr>
      </w:pPr>
    </w:p>
    <w:p w:rsidR="004D50F2" w:rsidRDefault="004D50F2" w:rsidP="004D50F2">
      <w:pPr>
        <w:spacing w:line="280" w:lineRule="atLeast"/>
        <w:contextualSpacing/>
        <w:jc w:val="both"/>
        <w:rPr>
          <w:rFonts w:ascii="Arial" w:eastAsia="Calibri" w:hAnsi="Arial" w:cs="Arial"/>
          <w:b/>
          <w:color w:val="0070C0"/>
          <w:sz w:val="22"/>
          <w:szCs w:val="22"/>
          <w:lang w:val="en-AU"/>
        </w:rPr>
      </w:pPr>
    </w:p>
    <w:p w:rsidR="004D50F2" w:rsidRDefault="004D50F2" w:rsidP="004D50F2">
      <w:pPr>
        <w:spacing w:line="280" w:lineRule="atLeast"/>
        <w:contextualSpacing/>
        <w:jc w:val="both"/>
        <w:rPr>
          <w:rFonts w:ascii="Arial" w:eastAsia="Calibri" w:hAnsi="Arial" w:cs="Arial"/>
          <w:b/>
          <w:color w:val="0070C0"/>
          <w:sz w:val="22"/>
          <w:szCs w:val="22"/>
          <w:lang w:val="en-AU"/>
        </w:rPr>
      </w:pPr>
      <w:r w:rsidRPr="004D50F2">
        <w:rPr>
          <w:rFonts w:ascii="Arial" w:eastAsia="Calibri" w:hAnsi="Arial" w:cs="Arial"/>
          <w:b/>
          <w:color w:val="0070C0"/>
          <w:sz w:val="22"/>
          <w:szCs w:val="22"/>
          <w:lang w:val="en-AU"/>
        </w:rPr>
        <w:t>How does the community benefit?</w:t>
      </w:r>
    </w:p>
    <w:p w:rsidR="004D50F2" w:rsidRPr="004D50F2" w:rsidRDefault="004D50F2" w:rsidP="004D50F2">
      <w:pPr>
        <w:spacing w:line="280" w:lineRule="atLeast"/>
        <w:contextualSpacing/>
        <w:jc w:val="both"/>
        <w:rPr>
          <w:rFonts w:ascii="Arial" w:eastAsia="Calibri" w:hAnsi="Arial" w:cs="Arial"/>
          <w:b/>
          <w:color w:val="0070C0"/>
          <w:sz w:val="22"/>
          <w:szCs w:val="22"/>
          <w:lang w:val="en-AU"/>
        </w:rPr>
      </w:pPr>
    </w:p>
    <w:p w:rsidR="004D50F2" w:rsidRPr="004D50F2" w:rsidRDefault="004D50F2" w:rsidP="004D50F2">
      <w:pPr>
        <w:spacing w:line="280" w:lineRule="atLeast"/>
        <w:contextualSpacing/>
        <w:jc w:val="both"/>
        <w:rPr>
          <w:rFonts w:ascii="Arial" w:eastAsia="Arial Unicode MS" w:hAnsi="Arial" w:cs="Arial"/>
          <w:sz w:val="22"/>
          <w:szCs w:val="22"/>
        </w:rPr>
      </w:pPr>
      <w:r w:rsidRPr="004D50F2">
        <w:rPr>
          <w:rFonts w:ascii="Arial" w:eastAsia="Arial Unicode MS" w:hAnsi="Arial" w:cs="Arial"/>
          <w:sz w:val="22"/>
          <w:szCs w:val="22"/>
        </w:rPr>
        <w:t xml:space="preserve">Young people participating in the program who were once homeless could become highly functioning members of the local community with the support of the program and housing, through gaining employment, secure housing and help towards achieving their individual longer term goals. </w:t>
      </w:r>
    </w:p>
    <w:p w:rsidR="004D50F2" w:rsidRPr="004D50F2" w:rsidRDefault="004D50F2" w:rsidP="004D50F2">
      <w:pPr>
        <w:spacing w:line="280" w:lineRule="atLeast"/>
        <w:contextualSpacing/>
        <w:jc w:val="both"/>
        <w:rPr>
          <w:rFonts w:ascii="Arial" w:eastAsia="Arial Unicode MS" w:hAnsi="Arial" w:cs="Arial"/>
          <w:sz w:val="22"/>
          <w:szCs w:val="22"/>
        </w:rPr>
      </w:pPr>
      <w:r w:rsidRPr="004D50F2">
        <w:rPr>
          <w:rFonts w:ascii="Arial" w:eastAsia="Arial Unicode MS" w:hAnsi="Arial" w:cs="Arial"/>
          <w:sz w:val="22"/>
          <w:szCs w:val="22"/>
        </w:rPr>
        <w:t xml:space="preserve">This model of youth supported accommodation blends into the constructed and physical landscape of its surroundings. It will help to meet the local housing need for young people with low incomes and reduce longer term reliance on service systems. This will create a housing pathway that is supported by a public-private partnership together with education and employment services as well as access to youth mental health services. </w:t>
      </w:r>
    </w:p>
    <w:p w:rsidR="004D50F2" w:rsidRPr="004D50F2" w:rsidRDefault="004D50F2" w:rsidP="004D50F2">
      <w:pPr>
        <w:spacing w:line="280" w:lineRule="atLeast"/>
        <w:contextualSpacing/>
        <w:jc w:val="both"/>
        <w:rPr>
          <w:rFonts w:ascii="Arial" w:eastAsia="Arial Unicode MS" w:hAnsi="Arial" w:cs="Arial"/>
          <w:b/>
          <w:sz w:val="22"/>
          <w:szCs w:val="22"/>
        </w:rPr>
      </w:pPr>
    </w:p>
    <w:p w:rsidR="004D50F2" w:rsidRDefault="004D50F2" w:rsidP="004D50F2">
      <w:pPr>
        <w:spacing w:line="280" w:lineRule="atLeast"/>
        <w:contextualSpacing/>
        <w:jc w:val="both"/>
        <w:rPr>
          <w:rFonts w:ascii="Arial" w:eastAsia="Calibri" w:hAnsi="Arial" w:cs="Arial"/>
          <w:b/>
          <w:color w:val="0070C0"/>
          <w:sz w:val="22"/>
          <w:szCs w:val="22"/>
          <w:lang w:val="en-AU"/>
        </w:rPr>
      </w:pPr>
    </w:p>
    <w:p w:rsidR="004D50F2" w:rsidRDefault="004D50F2" w:rsidP="004D50F2">
      <w:pPr>
        <w:spacing w:line="280" w:lineRule="atLeast"/>
        <w:contextualSpacing/>
        <w:jc w:val="both"/>
        <w:rPr>
          <w:rFonts w:ascii="Arial" w:eastAsia="Calibri" w:hAnsi="Arial" w:cs="Arial"/>
          <w:b/>
          <w:color w:val="0070C0"/>
          <w:sz w:val="22"/>
          <w:szCs w:val="22"/>
          <w:lang w:val="en-AU"/>
        </w:rPr>
      </w:pPr>
      <w:r w:rsidRPr="004D50F2">
        <w:rPr>
          <w:rFonts w:ascii="Arial" w:eastAsia="Calibri" w:hAnsi="Arial" w:cs="Arial"/>
          <w:b/>
          <w:color w:val="0070C0"/>
          <w:sz w:val="22"/>
          <w:szCs w:val="22"/>
          <w:lang w:val="en-AU"/>
        </w:rPr>
        <w:t>What objectives does this help us achieve?</w:t>
      </w:r>
    </w:p>
    <w:p w:rsidR="004D50F2" w:rsidRPr="004D50F2" w:rsidRDefault="004D50F2" w:rsidP="004D50F2">
      <w:pPr>
        <w:spacing w:line="280" w:lineRule="atLeast"/>
        <w:contextualSpacing/>
        <w:jc w:val="both"/>
        <w:rPr>
          <w:rFonts w:ascii="Arial" w:eastAsia="Calibri" w:hAnsi="Arial" w:cs="Arial"/>
          <w:b/>
          <w:color w:val="0070C0"/>
          <w:sz w:val="22"/>
          <w:szCs w:val="22"/>
          <w:lang w:val="en-AU"/>
        </w:rPr>
      </w:pPr>
    </w:p>
    <w:p w:rsidR="004D50F2" w:rsidRDefault="004D50F2" w:rsidP="004D50F2">
      <w:pPr>
        <w:spacing w:line="280" w:lineRule="atLeast"/>
        <w:contextualSpacing/>
        <w:jc w:val="both"/>
        <w:rPr>
          <w:rFonts w:ascii="Arial" w:eastAsia="Arial Unicode MS" w:hAnsi="Arial" w:cs="Arial"/>
          <w:b/>
          <w:sz w:val="22"/>
          <w:szCs w:val="22"/>
        </w:rPr>
      </w:pPr>
      <w:r w:rsidRPr="004D50F2">
        <w:rPr>
          <w:rFonts w:ascii="Arial" w:eastAsia="Arial Unicode MS" w:hAnsi="Arial" w:cs="Arial"/>
          <w:b/>
          <w:sz w:val="22"/>
          <w:szCs w:val="22"/>
        </w:rPr>
        <w:t>Federal Government</w:t>
      </w:r>
    </w:p>
    <w:p w:rsidR="004D50F2" w:rsidRPr="004D50F2" w:rsidRDefault="004D50F2" w:rsidP="004D50F2">
      <w:pPr>
        <w:spacing w:line="280" w:lineRule="atLeast"/>
        <w:contextualSpacing/>
        <w:jc w:val="both"/>
        <w:rPr>
          <w:rFonts w:ascii="Arial" w:eastAsia="Arial Unicode MS" w:hAnsi="Arial" w:cs="Arial"/>
          <w:b/>
          <w:sz w:val="22"/>
          <w:szCs w:val="22"/>
        </w:rPr>
      </w:pPr>
    </w:p>
    <w:p w:rsidR="004D50F2" w:rsidRPr="004D50F2" w:rsidRDefault="004D50F2" w:rsidP="004D50F2">
      <w:pPr>
        <w:numPr>
          <w:ilvl w:val="0"/>
          <w:numId w:val="11"/>
        </w:numPr>
        <w:spacing w:line="280" w:lineRule="atLeast"/>
        <w:contextualSpacing/>
        <w:jc w:val="both"/>
        <w:rPr>
          <w:rFonts w:ascii="Arial" w:eastAsia="Arial Unicode MS" w:hAnsi="Arial" w:cs="Arial"/>
          <w:sz w:val="22"/>
          <w:szCs w:val="22"/>
        </w:rPr>
      </w:pPr>
      <w:r w:rsidRPr="004D50F2">
        <w:rPr>
          <w:rFonts w:ascii="Arial" w:eastAsia="Arial Unicode MS" w:hAnsi="Arial" w:cs="Arial"/>
          <w:sz w:val="22"/>
          <w:szCs w:val="22"/>
        </w:rPr>
        <w:t>National Partnership Agreement on Homelessness</w:t>
      </w:r>
    </w:p>
    <w:p w:rsidR="004D50F2" w:rsidRPr="004D50F2" w:rsidRDefault="004D50F2" w:rsidP="004D50F2">
      <w:pPr>
        <w:numPr>
          <w:ilvl w:val="0"/>
          <w:numId w:val="11"/>
        </w:numPr>
        <w:spacing w:line="280" w:lineRule="atLeast"/>
        <w:contextualSpacing/>
        <w:jc w:val="both"/>
        <w:rPr>
          <w:rFonts w:ascii="Arial" w:eastAsia="Arial Unicode MS" w:hAnsi="Arial" w:cs="Arial"/>
          <w:sz w:val="22"/>
          <w:szCs w:val="22"/>
        </w:rPr>
      </w:pPr>
      <w:r w:rsidRPr="004D50F2">
        <w:rPr>
          <w:rFonts w:ascii="Arial" w:eastAsia="Arial Unicode MS" w:hAnsi="Arial" w:cs="Arial"/>
          <w:sz w:val="22"/>
          <w:szCs w:val="22"/>
        </w:rPr>
        <w:t>Access to Allied Psychological Services (ATAPS) Department of Health</w:t>
      </w:r>
    </w:p>
    <w:p w:rsidR="004D50F2" w:rsidRPr="004D50F2" w:rsidRDefault="004D50F2" w:rsidP="004D50F2">
      <w:pPr>
        <w:spacing w:line="280" w:lineRule="atLeast"/>
        <w:contextualSpacing/>
        <w:jc w:val="both"/>
        <w:rPr>
          <w:rFonts w:ascii="Arial" w:eastAsia="Arial Unicode MS" w:hAnsi="Arial" w:cs="Arial"/>
          <w:b/>
          <w:i/>
          <w:sz w:val="22"/>
          <w:szCs w:val="22"/>
        </w:rPr>
      </w:pPr>
    </w:p>
    <w:p w:rsidR="004D50F2" w:rsidRDefault="004D50F2" w:rsidP="004D50F2">
      <w:pPr>
        <w:spacing w:line="280" w:lineRule="atLeast"/>
        <w:contextualSpacing/>
        <w:jc w:val="both"/>
        <w:rPr>
          <w:rFonts w:ascii="Arial" w:eastAsia="Arial Unicode MS" w:hAnsi="Arial" w:cs="Arial"/>
          <w:b/>
          <w:sz w:val="22"/>
          <w:szCs w:val="22"/>
        </w:rPr>
      </w:pPr>
      <w:r w:rsidRPr="004D50F2">
        <w:rPr>
          <w:rFonts w:ascii="Arial" w:eastAsia="Arial Unicode MS" w:hAnsi="Arial" w:cs="Arial"/>
          <w:b/>
          <w:sz w:val="22"/>
          <w:szCs w:val="22"/>
        </w:rPr>
        <w:t>State Government</w:t>
      </w:r>
    </w:p>
    <w:p w:rsidR="004D50F2" w:rsidRPr="004D50F2" w:rsidRDefault="004D50F2" w:rsidP="004D50F2">
      <w:pPr>
        <w:spacing w:line="280" w:lineRule="atLeast"/>
        <w:contextualSpacing/>
        <w:jc w:val="both"/>
        <w:rPr>
          <w:rFonts w:ascii="Arial" w:eastAsia="Arial Unicode MS" w:hAnsi="Arial" w:cs="Arial"/>
          <w:b/>
          <w:sz w:val="22"/>
          <w:szCs w:val="22"/>
        </w:rPr>
      </w:pPr>
    </w:p>
    <w:p w:rsidR="004D50F2" w:rsidRPr="004D50F2" w:rsidRDefault="004D50F2" w:rsidP="004D50F2">
      <w:pPr>
        <w:numPr>
          <w:ilvl w:val="0"/>
          <w:numId w:val="12"/>
        </w:numPr>
        <w:spacing w:line="280" w:lineRule="atLeast"/>
        <w:contextualSpacing/>
        <w:jc w:val="both"/>
        <w:rPr>
          <w:rFonts w:ascii="Arial" w:eastAsia="Arial Unicode MS" w:hAnsi="Arial" w:cs="Arial"/>
          <w:sz w:val="22"/>
          <w:szCs w:val="22"/>
        </w:rPr>
      </w:pPr>
      <w:r w:rsidRPr="004D50F2">
        <w:rPr>
          <w:rFonts w:ascii="Arial" w:eastAsia="Arial Unicode MS" w:hAnsi="Arial" w:cs="Arial"/>
          <w:sz w:val="22"/>
          <w:szCs w:val="22"/>
        </w:rPr>
        <w:t>Victorian Homelessness Action Plan</w:t>
      </w:r>
    </w:p>
    <w:p w:rsidR="004D50F2" w:rsidRPr="004D50F2" w:rsidRDefault="004D50F2" w:rsidP="004D50F2">
      <w:pPr>
        <w:numPr>
          <w:ilvl w:val="0"/>
          <w:numId w:val="12"/>
        </w:numPr>
        <w:spacing w:line="280" w:lineRule="atLeast"/>
        <w:contextualSpacing/>
        <w:jc w:val="both"/>
        <w:rPr>
          <w:rFonts w:ascii="Arial" w:eastAsia="Arial Unicode MS" w:hAnsi="Arial" w:cs="Arial"/>
          <w:sz w:val="22"/>
          <w:szCs w:val="22"/>
        </w:rPr>
      </w:pPr>
      <w:r w:rsidRPr="004D50F2">
        <w:rPr>
          <w:rFonts w:ascii="Arial" w:eastAsia="Arial Unicode MS" w:hAnsi="Arial" w:cs="Arial"/>
          <w:sz w:val="22"/>
          <w:szCs w:val="22"/>
        </w:rPr>
        <w:t>Services Connect: Better Services for Victorians in Need</w:t>
      </w:r>
    </w:p>
    <w:p w:rsidR="004D50F2" w:rsidRPr="004D50F2" w:rsidRDefault="004D50F2" w:rsidP="004D50F2">
      <w:pPr>
        <w:numPr>
          <w:ilvl w:val="0"/>
          <w:numId w:val="12"/>
        </w:numPr>
        <w:spacing w:line="280" w:lineRule="atLeast"/>
        <w:contextualSpacing/>
        <w:jc w:val="both"/>
        <w:rPr>
          <w:rFonts w:ascii="Arial" w:eastAsia="Arial Unicode MS" w:hAnsi="Arial" w:cs="Arial"/>
          <w:sz w:val="22"/>
          <w:szCs w:val="22"/>
        </w:rPr>
      </w:pPr>
      <w:r w:rsidRPr="004D50F2">
        <w:rPr>
          <w:rFonts w:ascii="Arial" w:eastAsia="Arial Unicode MS" w:hAnsi="Arial" w:cs="Arial"/>
          <w:sz w:val="22"/>
          <w:szCs w:val="22"/>
        </w:rPr>
        <w:t>Victorian Service System Reform Project</w:t>
      </w:r>
    </w:p>
    <w:p w:rsidR="004D50F2" w:rsidRPr="004D50F2" w:rsidRDefault="004D50F2" w:rsidP="004D50F2">
      <w:pPr>
        <w:spacing w:line="280" w:lineRule="atLeast"/>
        <w:contextualSpacing/>
        <w:jc w:val="both"/>
        <w:rPr>
          <w:rFonts w:ascii="Arial" w:eastAsia="Arial Unicode MS" w:hAnsi="Arial" w:cs="Arial"/>
          <w:b/>
          <w:i/>
          <w:sz w:val="22"/>
          <w:szCs w:val="22"/>
        </w:rPr>
      </w:pPr>
    </w:p>
    <w:p w:rsidR="004D50F2" w:rsidRDefault="004D50F2" w:rsidP="004D50F2">
      <w:pPr>
        <w:spacing w:line="280" w:lineRule="atLeast"/>
        <w:contextualSpacing/>
        <w:jc w:val="both"/>
        <w:rPr>
          <w:rFonts w:ascii="Arial" w:eastAsia="Arial Unicode MS" w:hAnsi="Arial" w:cs="Arial"/>
          <w:b/>
          <w:sz w:val="22"/>
          <w:szCs w:val="22"/>
        </w:rPr>
      </w:pPr>
      <w:r w:rsidRPr="004D50F2">
        <w:rPr>
          <w:rFonts w:ascii="Arial" w:eastAsia="Arial Unicode MS" w:hAnsi="Arial" w:cs="Arial"/>
          <w:b/>
          <w:sz w:val="22"/>
          <w:szCs w:val="22"/>
        </w:rPr>
        <w:t>City of Whittlesea</w:t>
      </w:r>
    </w:p>
    <w:p w:rsidR="004D50F2" w:rsidRPr="004D50F2" w:rsidRDefault="004D50F2" w:rsidP="004D50F2">
      <w:pPr>
        <w:spacing w:line="280" w:lineRule="atLeast"/>
        <w:contextualSpacing/>
        <w:jc w:val="both"/>
        <w:rPr>
          <w:rFonts w:ascii="Arial" w:eastAsia="Arial Unicode MS" w:hAnsi="Arial" w:cs="Arial"/>
          <w:b/>
          <w:sz w:val="22"/>
          <w:szCs w:val="22"/>
        </w:rPr>
      </w:pPr>
    </w:p>
    <w:p w:rsidR="004D50F2" w:rsidRPr="004D50F2" w:rsidRDefault="004D50F2" w:rsidP="004D50F2">
      <w:pPr>
        <w:numPr>
          <w:ilvl w:val="0"/>
          <w:numId w:val="13"/>
        </w:numPr>
        <w:spacing w:line="280" w:lineRule="atLeast"/>
        <w:contextualSpacing/>
        <w:jc w:val="both"/>
        <w:rPr>
          <w:rFonts w:ascii="Arial" w:eastAsia="Arial Unicode MS" w:hAnsi="Arial" w:cs="Arial"/>
          <w:sz w:val="22"/>
          <w:szCs w:val="22"/>
        </w:rPr>
      </w:pPr>
      <w:r w:rsidRPr="004D50F2">
        <w:rPr>
          <w:rFonts w:ascii="Arial" w:eastAsia="Arial Unicode MS" w:hAnsi="Arial" w:cs="Arial"/>
          <w:sz w:val="22"/>
          <w:szCs w:val="22"/>
        </w:rPr>
        <w:t>Whittlesea Community Futures Youth Cluster – Homelessness</w:t>
      </w:r>
    </w:p>
    <w:p w:rsidR="004D50F2" w:rsidRPr="004D50F2" w:rsidRDefault="004D50F2" w:rsidP="004D50F2">
      <w:pPr>
        <w:numPr>
          <w:ilvl w:val="0"/>
          <w:numId w:val="13"/>
        </w:numPr>
        <w:spacing w:line="280" w:lineRule="atLeast"/>
        <w:contextualSpacing/>
        <w:jc w:val="both"/>
        <w:rPr>
          <w:rFonts w:ascii="Arial" w:eastAsia="Arial Unicode MS" w:hAnsi="Arial" w:cs="Arial"/>
          <w:sz w:val="22"/>
          <w:szCs w:val="22"/>
        </w:rPr>
      </w:pPr>
      <w:r w:rsidRPr="004D50F2">
        <w:rPr>
          <w:rFonts w:ascii="Arial" w:eastAsia="Arial Unicode MS" w:hAnsi="Arial" w:cs="Arial"/>
          <w:sz w:val="22"/>
          <w:szCs w:val="22"/>
        </w:rPr>
        <w:t>Whittlesea Community Futures Youth Cluster – Mental Health</w:t>
      </w:r>
    </w:p>
    <w:p w:rsidR="004D50F2" w:rsidRPr="004D50F2" w:rsidRDefault="004D50F2" w:rsidP="004D50F2">
      <w:pPr>
        <w:numPr>
          <w:ilvl w:val="0"/>
          <w:numId w:val="13"/>
        </w:numPr>
        <w:spacing w:line="280" w:lineRule="atLeast"/>
        <w:contextualSpacing/>
        <w:jc w:val="both"/>
        <w:rPr>
          <w:rFonts w:ascii="Arial" w:eastAsia="Arial Unicode MS" w:hAnsi="Arial" w:cs="Arial"/>
          <w:sz w:val="22"/>
          <w:szCs w:val="22"/>
        </w:rPr>
      </w:pPr>
      <w:r w:rsidRPr="004D50F2">
        <w:rPr>
          <w:rFonts w:ascii="Arial" w:eastAsia="Arial Unicode MS" w:hAnsi="Arial" w:cs="Arial"/>
          <w:sz w:val="22"/>
          <w:szCs w:val="22"/>
        </w:rPr>
        <w:t>Social and Affordable Housing Policy and Strategy 2012-2016</w:t>
      </w:r>
    </w:p>
    <w:p w:rsidR="004D50F2" w:rsidRPr="004D50F2" w:rsidRDefault="004D50F2" w:rsidP="004D50F2">
      <w:pPr>
        <w:numPr>
          <w:ilvl w:val="0"/>
          <w:numId w:val="13"/>
        </w:numPr>
        <w:spacing w:line="280" w:lineRule="atLeast"/>
        <w:contextualSpacing/>
        <w:jc w:val="both"/>
        <w:rPr>
          <w:rFonts w:ascii="Arial" w:eastAsia="Arial Unicode MS" w:hAnsi="Arial" w:cs="Arial"/>
          <w:sz w:val="22"/>
          <w:szCs w:val="22"/>
        </w:rPr>
      </w:pPr>
      <w:r w:rsidRPr="004D50F2">
        <w:rPr>
          <w:rFonts w:ascii="Arial" w:eastAsia="Arial Unicode MS" w:hAnsi="Arial" w:cs="Arial"/>
          <w:sz w:val="22"/>
          <w:szCs w:val="22"/>
        </w:rPr>
        <w:t>Housing Diversity Strategy 2013-2033</w:t>
      </w:r>
    </w:p>
    <w:p w:rsidR="004D50F2" w:rsidRPr="004D50F2" w:rsidRDefault="004D50F2" w:rsidP="004D50F2">
      <w:pPr>
        <w:numPr>
          <w:ilvl w:val="0"/>
          <w:numId w:val="13"/>
        </w:numPr>
        <w:tabs>
          <w:tab w:val="left" w:pos="2410"/>
          <w:tab w:val="left" w:pos="5670"/>
        </w:tabs>
        <w:spacing w:line="280" w:lineRule="atLeast"/>
        <w:contextualSpacing/>
        <w:rPr>
          <w:rFonts w:ascii="Arial" w:eastAsia="MS Mincho" w:hAnsi="Arial" w:cs="Arial"/>
          <w:sz w:val="22"/>
          <w:szCs w:val="22"/>
          <w:lang w:val="en-AU"/>
        </w:rPr>
      </w:pPr>
      <w:r w:rsidRPr="004D50F2">
        <w:rPr>
          <w:rFonts w:ascii="Arial" w:eastAsia="MS Mincho" w:hAnsi="Arial" w:cs="Arial"/>
          <w:sz w:val="22"/>
          <w:szCs w:val="22"/>
          <w:lang w:val="en-AU"/>
        </w:rPr>
        <w:t>Municipal Public Health and Wellbeing Plan 2009-2013</w:t>
      </w:r>
    </w:p>
    <w:p w:rsidR="004D50F2" w:rsidRPr="004D50F2" w:rsidRDefault="004D50F2" w:rsidP="004D50F2">
      <w:pPr>
        <w:numPr>
          <w:ilvl w:val="0"/>
          <w:numId w:val="13"/>
        </w:numPr>
        <w:tabs>
          <w:tab w:val="left" w:pos="2410"/>
          <w:tab w:val="left" w:pos="5670"/>
        </w:tabs>
        <w:spacing w:line="280" w:lineRule="atLeast"/>
        <w:contextualSpacing/>
        <w:rPr>
          <w:rFonts w:ascii="Arial" w:eastAsia="MS Mincho" w:hAnsi="Arial" w:cs="Arial"/>
          <w:sz w:val="22"/>
          <w:szCs w:val="22"/>
          <w:lang w:val="en-AU"/>
        </w:rPr>
      </w:pPr>
      <w:r w:rsidRPr="004D50F2">
        <w:rPr>
          <w:rFonts w:ascii="Arial" w:eastAsia="MS Mincho" w:hAnsi="Arial" w:cs="Arial"/>
          <w:sz w:val="22"/>
          <w:szCs w:val="22"/>
          <w:lang w:val="en-AU"/>
        </w:rPr>
        <w:t>Connect – The municipal plan for children and young people and their families in the City of Whittlesea 2013-2018</w:t>
      </w:r>
    </w:p>
    <w:p w:rsidR="004D50F2" w:rsidRPr="004D50F2" w:rsidRDefault="004D50F2" w:rsidP="004D50F2">
      <w:pPr>
        <w:spacing w:line="280" w:lineRule="atLeast"/>
        <w:contextualSpacing/>
        <w:jc w:val="both"/>
        <w:rPr>
          <w:rFonts w:ascii="Arial" w:eastAsia="Arial Unicode MS" w:hAnsi="Arial" w:cs="Arial"/>
          <w:b/>
          <w:sz w:val="22"/>
          <w:szCs w:val="22"/>
        </w:rPr>
      </w:pPr>
    </w:p>
    <w:p w:rsidR="004D50F2" w:rsidRPr="004D50F2" w:rsidRDefault="004D50F2" w:rsidP="004D50F2">
      <w:pPr>
        <w:spacing w:line="280" w:lineRule="atLeast"/>
        <w:contextualSpacing/>
        <w:jc w:val="both"/>
        <w:rPr>
          <w:rFonts w:ascii="Arial" w:eastAsia="Arial Unicode MS" w:hAnsi="Arial" w:cs="Arial"/>
          <w:b/>
          <w:sz w:val="22"/>
          <w:szCs w:val="22"/>
        </w:rPr>
      </w:pPr>
    </w:p>
    <w:p w:rsidR="004D50F2" w:rsidRDefault="004D50F2" w:rsidP="004D50F2">
      <w:pPr>
        <w:spacing w:line="280" w:lineRule="atLeast"/>
        <w:contextualSpacing/>
        <w:jc w:val="both"/>
        <w:rPr>
          <w:rFonts w:ascii="Arial" w:eastAsia="Times New Roman" w:hAnsi="Arial" w:cs="Arial"/>
          <w:b/>
          <w:color w:val="17365D"/>
          <w:sz w:val="22"/>
          <w:szCs w:val="22"/>
          <w:lang w:val="en-GB" w:eastAsia="en-AU"/>
        </w:rPr>
      </w:pPr>
    </w:p>
    <w:p w:rsidR="004D50F2" w:rsidRDefault="004D50F2" w:rsidP="004D50F2">
      <w:pPr>
        <w:spacing w:line="280" w:lineRule="atLeast"/>
        <w:contextualSpacing/>
        <w:jc w:val="both"/>
        <w:rPr>
          <w:rFonts w:ascii="Arial" w:eastAsia="Times New Roman" w:hAnsi="Arial" w:cs="Arial"/>
          <w:b/>
          <w:color w:val="17365D"/>
          <w:sz w:val="22"/>
          <w:szCs w:val="22"/>
          <w:lang w:val="en-GB" w:eastAsia="en-AU"/>
        </w:rPr>
      </w:pPr>
    </w:p>
    <w:p w:rsidR="004D50F2" w:rsidRDefault="004D50F2" w:rsidP="004D50F2">
      <w:pPr>
        <w:spacing w:line="280" w:lineRule="atLeast"/>
        <w:contextualSpacing/>
        <w:jc w:val="both"/>
        <w:rPr>
          <w:rFonts w:ascii="Arial" w:eastAsia="Times New Roman" w:hAnsi="Arial" w:cs="Arial"/>
          <w:b/>
          <w:color w:val="17365D"/>
          <w:sz w:val="22"/>
          <w:szCs w:val="22"/>
          <w:lang w:val="en-GB" w:eastAsia="en-AU"/>
        </w:rPr>
      </w:pPr>
    </w:p>
    <w:p w:rsidR="004D50F2" w:rsidRDefault="004D50F2" w:rsidP="004D50F2">
      <w:pPr>
        <w:spacing w:line="280" w:lineRule="atLeast"/>
        <w:contextualSpacing/>
        <w:jc w:val="both"/>
        <w:rPr>
          <w:rFonts w:ascii="Arial" w:eastAsia="Times New Roman" w:hAnsi="Arial" w:cs="Arial"/>
          <w:b/>
          <w:color w:val="17365D"/>
          <w:sz w:val="22"/>
          <w:szCs w:val="22"/>
          <w:lang w:val="en-GB" w:eastAsia="en-AU"/>
        </w:rPr>
      </w:pPr>
    </w:p>
    <w:p w:rsidR="004D50F2" w:rsidRDefault="004D50F2" w:rsidP="004D50F2">
      <w:pPr>
        <w:spacing w:line="280" w:lineRule="atLeast"/>
        <w:contextualSpacing/>
        <w:jc w:val="both"/>
        <w:rPr>
          <w:rFonts w:ascii="Arial" w:eastAsia="Times New Roman" w:hAnsi="Arial" w:cs="Arial"/>
          <w:b/>
          <w:color w:val="17365D"/>
          <w:sz w:val="22"/>
          <w:szCs w:val="22"/>
          <w:lang w:val="en-GB" w:eastAsia="en-AU"/>
        </w:rPr>
      </w:pPr>
    </w:p>
    <w:p w:rsidR="004D50F2" w:rsidRDefault="004D50F2" w:rsidP="004D50F2">
      <w:pPr>
        <w:spacing w:line="280" w:lineRule="atLeast"/>
        <w:contextualSpacing/>
        <w:jc w:val="both"/>
        <w:rPr>
          <w:rFonts w:ascii="Arial" w:eastAsia="Times New Roman" w:hAnsi="Arial" w:cs="Arial"/>
          <w:b/>
          <w:color w:val="17365D"/>
          <w:sz w:val="22"/>
          <w:szCs w:val="22"/>
          <w:lang w:val="en-GB" w:eastAsia="en-AU"/>
        </w:rPr>
      </w:pPr>
    </w:p>
    <w:p w:rsidR="004D50F2" w:rsidRDefault="004D50F2" w:rsidP="004D50F2">
      <w:pPr>
        <w:spacing w:line="280" w:lineRule="atLeast"/>
        <w:contextualSpacing/>
        <w:jc w:val="both"/>
        <w:rPr>
          <w:rFonts w:ascii="Arial" w:eastAsia="Times New Roman" w:hAnsi="Arial" w:cs="Arial"/>
          <w:b/>
          <w:color w:val="17365D"/>
          <w:sz w:val="22"/>
          <w:szCs w:val="22"/>
          <w:lang w:val="en-GB" w:eastAsia="en-AU"/>
        </w:rPr>
      </w:pPr>
    </w:p>
    <w:p w:rsidR="004D50F2" w:rsidRDefault="004D50F2" w:rsidP="004D50F2">
      <w:pPr>
        <w:spacing w:line="280" w:lineRule="atLeast"/>
        <w:contextualSpacing/>
        <w:jc w:val="both"/>
        <w:rPr>
          <w:rFonts w:ascii="Arial" w:eastAsia="Times New Roman" w:hAnsi="Arial" w:cs="Arial"/>
          <w:b/>
          <w:color w:val="17365D"/>
          <w:sz w:val="22"/>
          <w:szCs w:val="22"/>
          <w:lang w:val="en-GB" w:eastAsia="en-AU"/>
        </w:rPr>
      </w:pPr>
    </w:p>
    <w:p w:rsidR="004D50F2" w:rsidRDefault="004D50F2" w:rsidP="004D50F2">
      <w:pPr>
        <w:spacing w:line="280" w:lineRule="atLeast"/>
        <w:contextualSpacing/>
        <w:jc w:val="both"/>
        <w:rPr>
          <w:rFonts w:ascii="Arial" w:eastAsia="Times New Roman" w:hAnsi="Arial" w:cs="Arial"/>
          <w:b/>
          <w:color w:val="17365D"/>
          <w:sz w:val="22"/>
          <w:szCs w:val="22"/>
          <w:lang w:val="en-GB" w:eastAsia="en-AU"/>
        </w:rPr>
      </w:pPr>
    </w:p>
    <w:p w:rsidR="004D50F2" w:rsidRDefault="004D50F2" w:rsidP="004D50F2">
      <w:pPr>
        <w:spacing w:line="280" w:lineRule="atLeast"/>
        <w:contextualSpacing/>
        <w:jc w:val="both"/>
        <w:rPr>
          <w:rFonts w:ascii="Arial" w:eastAsia="Times New Roman" w:hAnsi="Arial" w:cs="Arial"/>
          <w:b/>
          <w:color w:val="17365D"/>
          <w:sz w:val="22"/>
          <w:szCs w:val="22"/>
          <w:lang w:val="en-GB" w:eastAsia="en-AU"/>
        </w:rPr>
      </w:pPr>
    </w:p>
    <w:p w:rsidR="004D50F2" w:rsidRDefault="004D50F2" w:rsidP="004D50F2">
      <w:pPr>
        <w:spacing w:line="280" w:lineRule="atLeast"/>
        <w:contextualSpacing/>
        <w:jc w:val="both"/>
        <w:rPr>
          <w:rFonts w:ascii="Arial" w:eastAsia="Times New Roman" w:hAnsi="Arial" w:cs="Arial"/>
          <w:b/>
          <w:color w:val="17365D"/>
          <w:sz w:val="22"/>
          <w:szCs w:val="22"/>
          <w:lang w:val="en-GB" w:eastAsia="en-AU"/>
        </w:rPr>
      </w:pPr>
    </w:p>
    <w:p w:rsidR="004D50F2" w:rsidRDefault="004D50F2" w:rsidP="004D50F2">
      <w:pPr>
        <w:spacing w:line="280" w:lineRule="atLeast"/>
        <w:contextualSpacing/>
        <w:jc w:val="both"/>
        <w:rPr>
          <w:rFonts w:ascii="Arial" w:eastAsia="Times New Roman" w:hAnsi="Arial" w:cs="Arial"/>
          <w:b/>
          <w:color w:val="17365D"/>
          <w:sz w:val="22"/>
          <w:szCs w:val="22"/>
          <w:lang w:val="en-GB" w:eastAsia="en-AU"/>
        </w:rPr>
      </w:pPr>
    </w:p>
    <w:p w:rsidR="004D50F2" w:rsidRDefault="004D50F2" w:rsidP="004D50F2">
      <w:pPr>
        <w:spacing w:line="280" w:lineRule="atLeast"/>
        <w:contextualSpacing/>
        <w:jc w:val="both"/>
        <w:rPr>
          <w:rFonts w:ascii="Arial" w:eastAsia="Times New Roman" w:hAnsi="Arial" w:cs="Arial"/>
          <w:b/>
          <w:color w:val="17365D"/>
          <w:sz w:val="22"/>
          <w:szCs w:val="22"/>
          <w:lang w:val="en-GB" w:eastAsia="en-AU"/>
        </w:rPr>
      </w:pPr>
    </w:p>
    <w:p w:rsidR="004D50F2" w:rsidRDefault="004D50F2" w:rsidP="004D50F2">
      <w:pPr>
        <w:spacing w:line="280" w:lineRule="atLeast"/>
        <w:contextualSpacing/>
        <w:jc w:val="both"/>
        <w:rPr>
          <w:rFonts w:ascii="Arial" w:eastAsia="Times New Roman" w:hAnsi="Arial" w:cs="Arial"/>
          <w:b/>
          <w:color w:val="17365D"/>
          <w:sz w:val="22"/>
          <w:szCs w:val="22"/>
          <w:lang w:val="en-GB" w:eastAsia="en-AU"/>
        </w:rPr>
      </w:pPr>
    </w:p>
    <w:p w:rsidR="004D50F2" w:rsidRDefault="004D50F2" w:rsidP="004D50F2">
      <w:pPr>
        <w:spacing w:line="280" w:lineRule="atLeast"/>
        <w:contextualSpacing/>
        <w:jc w:val="both"/>
        <w:rPr>
          <w:rFonts w:ascii="Arial" w:eastAsia="Times New Roman" w:hAnsi="Arial" w:cs="Arial"/>
          <w:b/>
          <w:color w:val="17365D"/>
          <w:sz w:val="22"/>
          <w:szCs w:val="22"/>
          <w:lang w:val="en-GB" w:eastAsia="en-AU"/>
        </w:rPr>
      </w:pPr>
    </w:p>
    <w:p w:rsidR="004D50F2" w:rsidRDefault="004D50F2" w:rsidP="004D50F2">
      <w:pPr>
        <w:spacing w:line="280" w:lineRule="atLeast"/>
        <w:contextualSpacing/>
        <w:jc w:val="both"/>
        <w:rPr>
          <w:rFonts w:ascii="Arial" w:eastAsia="Times New Roman" w:hAnsi="Arial" w:cs="Arial"/>
          <w:b/>
          <w:color w:val="17365D"/>
          <w:sz w:val="22"/>
          <w:szCs w:val="22"/>
          <w:lang w:val="en-GB" w:eastAsia="en-AU"/>
        </w:rPr>
      </w:pPr>
    </w:p>
    <w:p w:rsidR="004D50F2" w:rsidRDefault="004D50F2" w:rsidP="004D50F2">
      <w:pPr>
        <w:spacing w:line="280" w:lineRule="atLeast"/>
        <w:contextualSpacing/>
        <w:jc w:val="both"/>
        <w:rPr>
          <w:rFonts w:ascii="Arial" w:eastAsia="Times New Roman" w:hAnsi="Arial" w:cs="Arial"/>
          <w:b/>
          <w:color w:val="17365D"/>
          <w:sz w:val="22"/>
          <w:szCs w:val="22"/>
          <w:lang w:val="en-GB" w:eastAsia="en-AU"/>
        </w:rPr>
      </w:pPr>
      <w:r w:rsidRPr="004D50F2">
        <w:rPr>
          <w:rFonts w:ascii="Arial" w:eastAsia="Times New Roman" w:hAnsi="Arial" w:cs="Arial"/>
          <w:b/>
          <w:color w:val="17365D"/>
          <w:sz w:val="22"/>
          <w:szCs w:val="22"/>
          <w:lang w:val="en-GB" w:eastAsia="en-AU"/>
        </w:rPr>
        <w:t>Key Messages</w:t>
      </w:r>
    </w:p>
    <w:p w:rsidR="004D50F2" w:rsidRPr="004D50F2" w:rsidRDefault="004D50F2" w:rsidP="004D50F2">
      <w:pPr>
        <w:spacing w:line="280" w:lineRule="atLeast"/>
        <w:contextualSpacing/>
        <w:jc w:val="both"/>
        <w:rPr>
          <w:rFonts w:ascii="Arial" w:eastAsia="Times New Roman" w:hAnsi="Arial" w:cs="Arial"/>
          <w:b/>
          <w:color w:val="17365D"/>
          <w:sz w:val="22"/>
          <w:szCs w:val="22"/>
          <w:lang w:val="en-GB" w:eastAsia="en-AU"/>
        </w:rPr>
      </w:pPr>
    </w:p>
    <w:p w:rsidR="004D50F2" w:rsidRPr="004D50F2" w:rsidRDefault="004D50F2" w:rsidP="004D50F2">
      <w:pPr>
        <w:numPr>
          <w:ilvl w:val="0"/>
          <w:numId w:val="10"/>
        </w:numPr>
        <w:spacing w:line="280" w:lineRule="atLeast"/>
        <w:ind w:left="284" w:hanging="284"/>
        <w:contextualSpacing/>
        <w:jc w:val="both"/>
        <w:rPr>
          <w:rFonts w:ascii="Arial" w:eastAsia="Arial Unicode MS" w:hAnsi="Arial" w:cs="Arial"/>
          <w:sz w:val="22"/>
          <w:szCs w:val="22"/>
        </w:rPr>
      </w:pPr>
      <w:r w:rsidRPr="004D50F2">
        <w:rPr>
          <w:rFonts w:ascii="Arial" w:eastAsia="Arial Unicode MS" w:hAnsi="Arial" w:cs="Arial"/>
          <w:sz w:val="22"/>
          <w:szCs w:val="22"/>
        </w:rPr>
        <w:t>Youth supported accommodation is a successful model of housing and support for young people with an employment, education and training focus.</w:t>
      </w:r>
    </w:p>
    <w:p w:rsidR="004D50F2" w:rsidRPr="004D50F2" w:rsidRDefault="004D50F2" w:rsidP="004D50F2">
      <w:pPr>
        <w:spacing w:line="280" w:lineRule="atLeast"/>
        <w:ind w:left="284"/>
        <w:contextualSpacing/>
        <w:jc w:val="both"/>
        <w:rPr>
          <w:rFonts w:ascii="Arial" w:eastAsia="Arial Unicode MS" w:hAnsi="Arial" w:cs="Arial"/>
          <w:sz w:val="22"/>
          <w:szCs w:val="22"/>
        </w:rPr>
      </w:pPr>
    </w:p>
    <w:p w:rsidR="004D50F2" w:rsidRPr="004D50F2" w:rsidRDefault="004D50F2" w:rsidP="004D50F2">
      <w:pPr>
        <w:numPr>
          <w:ilvl w:val="0"/>
          <w:numId w:val="10"/>
        </w:numPr>
        <w:spacing w:line="280" w:lineRule="atLeast"/>
        <w:ind w:left="284" w:hanging="284"/>
        <w:contextualSpacing/>
        <w:jc w:val="both"/>
        <w:rPr>
          <w:rFonts w:ascii="Arial" w:eastAsia="Arial Unicode MS" w:hAnsi="Arial" w:cs="Arial"/>
          <w:sz w:val="22"/>
          <w:szCs w:val="22"/>
        </w:rPr>
      </w:pPr>
      <w:r w:rsidRPr="004D50F2">
        <w:rPr>
          <w:rFonts w:ascii="Arial" w:eastAsia="Arial Unicode MS" w:hAnsi="Arial" w:cs="Arial"/>
          <w:sz w:val="22"/>
          <w:szCs w:val="22"/>
        </w:rPr>
        <w:t>Meets housing need for low income at-risk young people and reduces longer term reliance on service systems.</w:t>
      </w:r>
    </w:p>
    <w:p w:rsidR="004D50F2" w:rsidRPr="004D50F2" w:rsidRDefault="004D50F2" w:rsidP="004D50F2">
      <w:pPr>
        <w:spacing w:line="280" w:lineRule="atLeast"/>
        <w:ind w:left="720"/>
        <w:contextualSpacing/>
        <w:rPr>
          <w:rFonts w:ascii="Arial" w:eastAsia="MS Mincho" w:hAnsi="Arial" w:cs="Arial"/>
          <w:color w:val="1F497D"/>
          <w:sz w:val="22"/>
          <w:szCs w:val="22"/>
          <w:lang w:val="en-AU"/>
        </w:rPr>
      </w:pPr>
    </w:p>
    <w:p w:rsidR="004D50F2" w:rsidRPr="004D50F2" w:rsidRDefault="004D50F2" w:rsidP="004D50F2">
      <w:pPr>
        <w:numPr>
          <w:ilvl w:val="0"/>
          <w:numId w:val="10"/>
        </w:numPr>
        <w:spacing w:line="280" w:lineRule="atLeast"/>
        <w:ind w:left="284" w:hanging="284"/>
        <w:contextualSpacing/>
        <w:jc w:val="both"/>
        <w:rPr>
          <w:rFonts w:ascii="Arial" w:eastAsia="Arial Unicode MS" w:hAnsi="Arial" w:cs="Arial"/>
          <w:sz w:val="22"/>
          <w:szCs w:val="22"/>
        </w:rPr>
      </w:pPr>
      <w:r w:rsidRPr="004D50F2">
        <w:rPr>
          <w:rFonts w:ascii="Arial" w:eastAsia="Arial Unicode MS" w:hAnsi="Arial" w:cs="Arial"/>
          <w:sz w:val="22"/>
          <w:szCs w:val="22"/>
        </w:rPr>
        <w:t>Whittlesea Community Futures Partner Agencies are willing to explore a public-private partnership for a Foyer model in the South Morang Precinct.</w:t>
      </w:r>
    </w:p>
    <w:p w:rsidR="004D50F2" w:rsidRPr="004D50F2" w:rsidRDefault="004D50F2" w:rsidP="004D50F2">
      <w:pPr>
        <w:spacing w:line="280" w:lineRule="atLeast"/>
        <w:contextualSpacing/>
        <w:jc w:val="both"/>
        <w:rPr>
          <w:rFonts w:ascii="Arial" w:eastAsia="Arial Unicode MS" w:hAnsi="Arial" w:cs="Arial"/>
          <w:sz w:val="22"/>
          <w:szCs w:val="22"/>
        </w:rPr>
      </w:pPr>
    </w:p>
    <w:p w:rsidR="004D50F2" w:rsidRPr="004D50F2" w:rsidRDefault="004D50F2" w:rsidP="004D50F2">
      <w:pPr>
        <w:spacing w:line="280" w:lineRule="atLeast"/>
        <w:ind w:left="-1800" w:right="-1800" w:firstLine="1800"/>
        <w:contextualSpacing/>
        <w:rPr>
          <w:rFonts w:ascii="Arial" w:hAnsi="Arial" w:cs="Arial"/>
          <w:sz w:val="22"/>
          <w:szCs w:val="22"/>
          <w:lang w:val="en-AU"/>
        </w:rPr>
      </w:pPr>
    </w:p>
    <w:p w:rsidR="005B6C61" w:rsidRPr="004D50F2" w:rsidRDefault="00702727" w:rsidP="004D50F2">
      <w:pPr>
        <w:spacing w:line="280" w:lineRule="atLeast"/>
        <w:ind w:left="-1800" w:right="-1800" w:firstLine="1800"/>
        <w:contextualSpacing/>
        <w:rPr>
          <w:rFonts w:ascii="Arial" w:hAnsi="Arial" w:cs="Arial"/>
          <w:sz w:val="22"/>
          <w:szCs w:val="22"/>
          <w:lang w:val="en-AU"/>
        </w:rPr>
      </w:pPr>
      <w:r w:rsidRPr="004D50F2">
        <w:rPr>
          <w:rFonts w:ascii="Arial" w:hAnsi="Arial" w:cs="Arial"/>
          <w:sz w:val="22"/>
          <w:szCs w:val="22"/>
          <w:lang w:val="en-AU"/>
        </w:rPr>
        <w:tab/>
      </w:r>
    </w:p>
    <w:p w:rsidR="003F783A" w:rsidRPr="004D50F2" w:rsidRDefault="003F783A" w:rsidP="004D50F2">
      <w:pPr>
        <w:spacing w:line="280" w:lineRule="atLeast"/>
        <w:ind w:left="-1800" w:right="-1800" w:firstLine="1800"/>
        <w:contextualSpacing/>
        <w:rPr>
          <w:rFonts w:ascii="Arial" w:hAnsi="Arial" w:cs="Arial"/>
          <w:sz w:val="22"/>
          <w:szCs w:val="22"/>
          <w:lang w:val="en-AU"/>
        </w:rPr>
      </w:pPr>
    </w:p>
    <w:p w:rsidR="00C212ED" w:rsidRPr="004D50F2" w:rsidRDefault="00C212ED" w:rsidP="004D50F2">
      <w:pPr>
        <w:spacing w:line="280" w:lineRule="atLeast"/>
        <w:ind w:left="-1800" w:right="-1800" w:firstLine="1800"/>
        <w:contextualSpacing/>
        <w:rPr>
          <w:rFonts w:ascii="Arial" w:hAnsi="Arial" w:cs="Arial"/>
          <w:sz w:val="22"/>
          <w:szCs w:val="22"/>
          <w:lang w:val="en-AU"/>
        </w:rPr>
      </w:pPr>
    </w:p>
    <w:p w:rsidR="00C212ED" w:rsidRPr="004D50F2" w:rsidRDefault="00C212ED" w:rsidP="004D50F2">
      <w:pPr>
        <w:spacing w:line="280" w:lineRule="atLeast"/>
        <w:ind w:left="-1800" w:right="-1800" w:firstLine="1800"/>
        <w:contextualSpacing/>
        <w:rPr>
          <w:rFonts w:ascii="Arial" w:hAnsi="Arial" w:cs="Arial"/>
          <w:sz w:val="22"/>
          <w:szCs w:val="22"/>
          <w:lang w:val="en-AU"/>
        </w:rPr>
      </w:pPr>
    </w:p>
    <w:p w:rsidR="00C212ED" w:rsidRPr="004D50F2" w:rsidRDefault="00C212ED" w:rsidP="004D50F2">
      <w:pPr>
        <w:spacing w:line="280" w:lineRule="atLeast"/>
        <w:ind w:left="-1800" w:right="-1800" w:firstLine="1800"/>
        <w:contextualSpacing/>
        <w:rPr>
          <w:rFonts w:ascii="Arial" w:hAnsi="Arial" w:cs="Arial"/>
          <w:sz w:val="22"/>
          <w:szCs w:val="22"/>
          <w:lang w:val="en-AU"/>
        </w:rPr>
      </w:pPr>
    </w:p>
    <w:sectPr w:rsidR="00C212ED" w:rsidRPr="004D50F2" w:rsidSect="00632FEB">
      <w:headerReference w:type="even" r:id="rId8"/>
      <w:headerReference w:type="default" r:id="rId9"/>
      <w:footerReference w:type="default" r:id="rId10"/>
      <w:headerReference w:type="first" r:id="rId11"/>
      <w:pgSz w:w="11900" w:h="16840"/>
      <w:pgMar w:top="238" w:right="1134" w:bottom="1418" w:left="1134" w:header="709" w:footer="113" w:gutter="0"/>
      <w:pgNumType w:start="3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5B5" w:rsidRDefault="00C212ED">
      <w:r>
        <w:separator/>
      </w:r>
    </w:p>
  </w:endnote>
  <w:endnote w:type="continuationSeparator" w:id="0">
    <w:p w:rsidR="001E55B5" w:rsidRDefault="00C212ED">
      <w:r>
        <w:continuationSeparator/>
      </w:r>
    </w:p>
  </w:endnote>
  <w:endnote w:id="1">
    <w:p w:rsidR="004D50F2" w:rsidRPr="00537665" w:rsidRDefault="004D50F2" w:rsidP="004D50F2">
      <w:pPr>
        <w:pStyle w:val="EndnoteText"/>
        <w:spacing w:line="276" w:lineRule="auto"/>
        <w:rPr>
          <w:rFonts w:ascii="Arial" w:hAnsi="Arial" w:cs="Arial"/>
        </w:rPr>
      </w:pPr>
      <w:r w:rsidRPr="00537665">
        <w:rPr>
          <w:rStyle w:val="EndnoteReference"/>
          <w:rFonts w:ascii="Arial" w:hAnsi="Arial" w:cs="Arial"/>
        </w:rPr>
        <w:endnoteRef/>
      </w:r>
      <w:r w:rsidRPr="00537665">
        <w:rPr>
          <w:rFonts w:ascii="Arial" w:hAnsi="Arial" w:cs="Arial"/>
        </w:rPr>
        <w:t xml:space="preserve"> </w:t>
      </w:r>
      <w:r w:rsidRPr="00537665">
        <w:rPr>
          <w:rFonts w:ascii="Arial" w:eastAsia="Arial Unicode MS" w:hAnsi="Arial" w:cs="Arial"/>
        </w:rPr>
        <w:t xml:space="preserve">City of Whittlesea, </w:t>
      </w:r>
      <w:r w:rsidRPr="00537665">
        <w:rPr>
          <w:rFonts w:ascii="Arial" w:eastAsia="Arial Unicode MS" w:hAnsi="Arial" w:cs="Arial"/>
          <w:i/>
        </w:rPr>
        <w:t>Human Services Needs Analysis</w:t>
      </w:r>
      <w:r w:rsidRPr="00537665">
        <w:rPr>
          <w:rFonts w:ascii="Arial" w:eastAsia="Arial Unicode MS" w:hAnsi="Arial" w:cs="Arial"/>
        </w:rPr>
        <w:t>, 2013</w:t>
      </w:r>
    </w:p>
  </w:endnote>
  <w:endnote w:id="2">
    <w:p w:rsidR="004D50F2" w:rsidRPr="00537665" w:rsidRDefault="004D50F2" w:rsidP="004D50F2">
      <w:pPr>
        <w:pStyle w:val="EndnoteText"/>
        <w:spacing w:line="276" w:lineRule="auto"/>
        <w:rPr>
          <w:rFonts w:ascii="Arial" w:hAnsi="Arial" w:cs="Arial"/>
        </w:rPr>
      </w:pPr>
      <w:r w:rsidRPr="00537665">
        <w:rPr>
          <w:rStyle w:val="EndnoteReference"/>
          <w:rFonts w:ascii="Arial" w:hAnsi="Arial" w:cs="Arial"/>
        </w:rPr>
        <w:endnoteRef/>
      </w:r>
      <w:r w:rsidRPr="00537665">
        <w:rPr>
          <w:rFonts w:ascii="Arial" w:hAnsi="Arial" w:cs="Arial"/>
        </w:rPr>
        <w:t xml:space="preserve"> Forecast.id, </w:t>
      </w:r>
      <w:r w:rsidRPr="00537665">
        <w:rPr>
          <w:rFonts w:ascii="Arial" w:hAnsi="Arial" w:cs="Arial"/>
          <w:i/>
        </w:rPr>
        <w:t>City of Whittlesea Population Forecast</w:t>
      </w:r>
      <w:r w:rsidRPr="00537665">
        <w:rPr>
          <w:rFonts w:ascii="Arial" w:hAnsi="Arial" w:cs="Arial"/>
        </w:rPr>
        <w:t xml:space="preserve">, </w:t>
      </w:r>
      <w:hyperlink r:id="rId1" w:history="1">
        <w:r w:rsidRPr="00537665">
          <w:rPr>
            <w:rStyle w:val="Hyperlink1"/>
            <w:rFonts w:ascii="Arial" w:hAnsi="Arial" w:cs="Arial"/>
          </w:rPr>
          <w:t>http://forecast.id.com.au/whittlesea</w:t>
        </w:r>
      </w:hyperlink>
      <w:r w:rsidRPr="00537665">
        <w:rPr>
          <w:rFonts w:ascii="Arial" w:hAnsi="Arial" w:cs="Arial"/>
        </w:rPr>
        <w:t>, accessed March 2014</w:t>
      </w:r>
    </w:p>
  </w:endnote>
  <w:endnote w:id="3">
    <w:p w:rsidR="004D50F2" w:rsidRPr="00537665" w:rsidRDefault="004D50F2" w:rsidP="004D50F2">
      <w:pPr>
        <w:pStyle w:val="EndnoteText"/>
        <w:spacing w:line="276" w:lineRule="auto"/>
        <w:rPr>
          <w:rFonts w:ascii="Arial" w:hAnsi="Arial" w:cs="Arial"/>
        </w:rPr>
      </w:pPr>
      <w:r w:rsidRPr="00537665">
        <w:rPr>
          <w:rStyle w:val="EndnoteReference"/>
          <w:rFonts w:ascii="Arial" w:hAnsi="Arial" w:cs="Arial"/>
        </w:rPr>
        <w:endnoteRef/>
      </w:r>
      <w:r w:rsidRPr="00537665">
        <w:rPr>
          <w:rFonts w:ascii="Arial" w:hAnsi="Arial" w:cs="Arial"/>
        </w:rPr>
        <w:t xml:space="preserve"> Swinburn</w:t>
      </w:r>
      <w:r>
        <w:rPr>
          <w:rFonts w:ascii="Arial" w:hAnsi="Arial" w:cs="Arial"/>
        </w:rPr>
        <w:t>e</w:t>
      </w:r>
      <w:r w:rsidRPr="00537665">
        <w:rPr>
          <w:rFonts w:ascii="Arial" w:hAnsi="Arial" w:cs="Arial"/>
        </w:rPr>
        <w:t xml:space="preserve"> University, Homelessness Research Collaboration, A. Steen &amp; D. Mackenzie, </w:t>
      </w:r>
      <w:r w:rsidRPr="00537665">
        <w:rPr>
          <w:rFonts w:ascii="Arial" w:hAnsi="Arial" w:cs="Arial"/>
          <w:i/>
        </w:rPr>
        <w:t>Financial Analysis of Foyer and Foyer-like Youth Housing Models</w:t>
      </w:r>
      <w:r w:rsidRPr="00537665">
        <w:rPr>
          <w:rFonts w:ascii="Arial" w:hAnsi="Arial" w:cs="Arial"/>
        </w:rPr>
        <w:t xml:space="preserve">, June 2013. </w:t>
      </w:r>
    </w:p>
    <w:p w:rsidR="004D50F2" w:rsidRPr="00537665" w:rsidRDefault="004D50F2" w:rsidP="004D50F2">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232398"/>
      <w:docPartObj>
        <w:docPartGallery w:val="Page Numbers (Bottom of Page)"/>
        <w:docPartUnique/>
      </w:docPartObj>
    </w:sdtPr>
    <w:sdtEndPr>
      <w:rPr>
        <w:noProof/>
        <w:sz w:val="16"/>
      </w:rPr>
    </w:sdtEndPr>
    <w:sdtContent>
      <w:p w:rsidR="009D37BB" w:rsidRPr="009D37BB" w:rsidRDefault="009D37BB">
        <w:pPr>
          <w:pStyle w:val="Footer"/>
          <w:jc w:val="right"/>
          <w:rPr>
            <w:sz w:val="16"/>
          </w:rPr>
        </w:pPr>
        <w:r w:rsidRPr="009D37BB">
          <w:rPr>
            <w:sz w:val="16"/>
          </w:rPr>
          <w:fldChar w:fldCharType="begin"/>
        </w:r>
        <w:r w:rsidRPr="009D37BB">
          <w:rPr>
            <w:sz w:val="16"/>
          </w:rPr>
          <w:instrText xml:space="preserve"> PAGE   \* MERGEFORMAT </w:instrText>
        </w:r>
        <w:r w:rsidRPr="009D37BB">
          <w:rPr>
            <w:sz w:val="16"/>
          </w:rPr>
          <w:fldChar w:fldCharType="separate"/>
        </w:r>
        <w:r w:rsidR="001770F1">
          <w:rPr>
            <w:noProof/>
            <w:sz w:val="16"/>
          </w:rPr>
          <w:t>34</w:t>
        </w:r>
        <w:r w:rsidRPr="009D37BB">
          <w:rPr>
            <w:noProof/>
            <w:sz w:val="16"/>
          </w:rPr>
          <w:fldChar w:fldCharType="end"/>
        </w:r>
      </w:p>
    </w:sdtContent>
  </w:sdt>
  <w:p w:rsidR="00702727" w:rsidRDefault="007027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5B5" w:rsidRDefault="00C212ED">
      <w:r>
        <w:separator/>
      </w:r>
    </w:p>
  </w:footnote>
  <w:footnote w:type="continuationSeparator" w:id="0">
    <w:p w:rsidR="001E55B5" w:rsidRDefault="00C21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727" w:rsidRDefault="001770F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4.6pt;height:841.05pt;z-index:-251657216;mso-wrap-edited:f;mso-position-horizontal:center;mso-position-horizontal-relative:margin;mso-position-vertical:center;mso-position-vertical-relative:margin" wrapcoords="-27 0 -27 21561 21600 21561 21600 0 -27 0">
          <v:imagedata r:id="rId1" o:title="LETTERHEAD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727" w:rsidRDefault="001770F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594.6pt;height:841.05pt;z-index:-251658240;mso-wrap-edited:f;mso-position-horizontal:center;mso-position-horizontal-relative:margin;mso-position-vertical:center;mso-position-vertical-relative:margin" wrapcoords="-27 0 -27 21561 21600 21561 21600 0 -27 0">
          <v:imagedata r:id="rId1" o:title="LETTERHEAD3"/>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727" w:rsidRDefault="001770F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4.6pt;height:841.05pt;z-index:-251656192;mso-wrap-edited:f;mso-position-horizontal:center;mso-position-horizontal-relative:margin;mso-position-vertical:center;mso-position-vertical-relative:margin" wrapcoords="-27 0 -27 21561 21600 21561 21600 0 -27 0">
          <v:imagedata r:id="rId1" o:title="LETTERHEAD3"/>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7061"/>
    <w:multiLevelType w:val="hybridMultilevel"/>
    <w:tmpl w:val="0E540E88"/>
    <w:lvl w:ilvl="0" w:tplc="EEDAA9A0">
      <w:start w:val="1"/>
      <w:numFmt w:val="bullet"/>
      <w:lvlText w:val=""/>
      <w:lvlJc w:val="left"/>
      <w:pPr>
        <w:tabs>
          <w:tab w:val="num" w:pos="720"/>
        </w:tabs>
        <w:ind w:left="720" w:hanging="360"/>
      </w:pPr>
      <w:rPr>
        <w:rFonts w:ascii="Wingdings" w:hAnsi="Wingdings" w:hint="default"/>
      </w:rPr>
    </w:lvl>
    <w:lvl w:ilvl="1" w:tplc="DB1C442C">
      <w:start w:val="1"/>
      <w:numFmt w:val="bullet"/>
      <w:lvlText w:val=""/>
      <w:lvlJc w:val="left"/>
      <w:pPr>
        <w:tabs>
          <w:tab w:val="num" w:pos="1440"/>
        </w:tabs>
        <w:ind w:left="1440" w:hanging="360"/>
      </w:pPr>
      <w:rPr>
        <w:rFonts w:ascii="Wingdings" w:hAnsi="Wingdings" w:hint="default"/>
      </w:rPr>
    </w:lvl>
    <w:lvl w:ilvl="2" w:tplc="C3AAC384" w:tentative="1">
      <w:start w:val="1"/>
      <w:numFmt w:val="bullet"/>
      <w:lvlText w:val=""/>
      <w:lvlJc w:val="left"/>
      <w:pPr>
        <w:tabs>
          <w:tab w:val="num" w:pos="2160"/>
        </w:tabs>
        <w:ind w:left="2160" w:hanging="360"/>
      </w:pPr>
      <w:rPr>
        <w:rFonts w:ascii="Wingdings" w:hAnsi="Wingdings" w:hint="default"/>
      </w:rPr>
    </w:lvl>
    <w:lvl w:ilvl="3" w:tplc="21482EC6" w:tentative="1">
      <w:start w:val="1"/>
      <w:numFmt w:val="bullet"/>
      <w:lvlText w:val=""/>
      <w:lvlJc w:val="left"/>
      <w:pPr>
        <w:tabs>
          <w:tab w:val="num" w:pos="2880"/>
        </w:tabs>
        <w:ind w:left="2880" w:hanging="360"/>
      </w:pPr>
      <w:rPr>
        <w:rFonts w:ascii="Wingdings" w:hAnsi="Wingdings" w:hint="default"/>
      </w:rPr>
    </w:lvl>
    <w:lvl w:ilvl="4" w:tplc="BB84665C" w:tentative="1">
      <w:start w:val="1"/>
      <w:numFmt w:val="bullet"/>
      <w:lvlText w:val=""/>
      <w:lvlJc w:val="left"/>
      <w:pPr>
        <w:tabs>
          <w:tab w:val="num" w:pos="3600"/>
        </w:tabs>
        <w:ind w:left="3600" w:hanging="360"/>
      </w:pPr>
      <w:rPr>
        <w:rFonts w:ascii="Wingdings" w:hAnsi="Wingdings" w:hint="default"/>
      </w:rPr>
    </w:lvl>
    <w:lvl w:ilvl="5" w:tplc="40684A52" w:tentative="1">
      <w:start w:val="1"/>
      <w:numFmt w:val="bullet"/>
      <w:lvlText w:val=""/>
      <w:lvlJc w:val="left"/>
      <w:pPr>
        <w:tabs>
          <w:tab w:val="num" w:pos="4320"/>
        </w:tabs>
        <w:ind w:left="4320" w:hanging="360"/>
      </w:pPr>
      <w:rPr>
        <w:rFonts w:ascii="Wingdings" w:hAnsi="Wingdings" w:hint="default"/>
      </w:rPr>
    </w:lvl>
    <w:lvl w:ilvl="6" w:tplc="9F5278B2" w:tentative="1">
      <w:start w:val="1"/>
      <w:numFmt w:val="bullet"/>
      <w:lvlText w:val=""/>
      <w:lvlJc w:val="left"/>
      <w:pPr>
        <w:tabs>
          <w:tab w:val="num" w:pos="5040"/>
        </w:tabs>
        <w:ind w:left="5040" w:hanging="360"/>
      </w:pPr>
      <w:rPr>
        <w:rFonts w:ascii="Wingdings" w:hAnsi="Wingdings" w:hint="default"/>
      </w:rPr>
    </w:lvl>
    <w:lvl w:ilvl="7" w:tplc="ACBAD954" w:tentative="1">
      <w:start w:val="1"/>
      <w:numFmt w:val="bullet"/>
      <w:lvlText w:val=""/>
      <w:lvlJc w:val="left"/>
      <w:pPr>
        <w:tabs>
          <w:tab w:val="num" w:pos="5760"/>
        </w:tabs>
        <w:ind w:left="5760" w:hanging="360"/>
      </w:pPr>
      <w:rPr>
        <w:rFonts w:ascii="Wingdings" w:hAnsi="Wingdings" w:hint="default"/>
      </w:rPr>
    </w:lvl>
    <w:lvl w:ilvl="8" w:tplc="28B2AD84" w:tentative="1">
      <w:start w:val="1"/>
      <w:numFmt w:val="bullet"/>
      <w:lvlText w:val=""/>
      <w:lvlJc w:val="left"/>
      <w:pPr>
        <w:tabs>
          <w:tab w:val="num" w:pos="6480"/>
        </w:tabs>
        <w:ind w:left="6480" w:hanging="360"/>
      </w:pPr>
      <w:rPr>
        <w:rFonts w:ascii="Wingdings" w:hAnsi="Wingdings" w:hint="default"/>
      </w:rPr>
    </w:lvl>
  </w:abstractNum>
  <w:abstractNum w:abstractNumId="1">
    <w:nsid w:val="08DE63E1"/>
    <w:multiLevelType w:val="hybridMultilevel"/>
    <w:tmpl w:val="D2B0522E"/>
    <w:lvl w:ilvl="0" w:tplc="3168BBF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A33E40"/>
    <w:multiLevelType w:val="hybridMultilevel"/>
    <w:tmpl w:val="C9FE9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5076B4B"/>
    <w:multiLevelType w:val="hybridMultilevel"/>
    <w:tmpl w:val="DBDAE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6003901"/>
    <w:multiLevelType w:val="hybridMultilevel"/>
    <w:tmpl w:val="4BE4CE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1D10B59"/>
    <w:multiLevelType w:val="hybridMultilevel"/>
    <w:tmpl w:val="1CA0A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05316E2"/>
    <w:multiLevelType w:val="hybridMultilevel"/>
    <w:tmpl w:val="392A5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25F1334"/>
    <w:multiLevelType w:val="hybridMultilevel"/>
    <w:tmpl w:val="DDDCE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4860F92"/>
    <w:multiLevelType w:val="hybridMultilevel"/>
    <w:tmpl w:val="250CB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C12702B"/>
    <w:multiLevelType w:val="hybridMultilevel"/>
    <w:tmpl w:val="F49CC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D81641C"/>
    <w:multiLevelType w:val="hybridMultilevel"/>
    <w:tmpl w:val="B21EAC6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0996524"/>
    <w:multiLevelType w:val="hybridMultilevel"/>
    <w:tmpl w:val="C19CF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70670A5"/>
    <w:multiLevelType w:val="hybridMultilevel"/>
    <w:tmpl w:val="7EC257E6"/>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1"/>
  </w:num>
  <w:num w:numId="2">
    <w:abstractNumId w:val="10"/>
  </w:num>
  <w:num w:numId="3">
    <w:abstractNumId w:val="0"/>
  </w:num>
  <w:num w:numId="4">
    <w:abstractNumId w:val="12"/>
  </w:num>
  <w:num w:numId="5">
    <w:abstractNumId w:val="1"/>
  </w:num>
  <w:num w:numId="6">
    <w:abstractNumId w:val="6"/>
  </w:num>
  <w:num w:numId="7">
    <w:abstractNumId w:val="9"/>
  </w:num>
  <w:num w:numId="8">
    <w:abstractNumId w:val="4"/>
  </w:num>
  <w:num w:numId="9">
    <w:abstractNumId w:val="7"/>
  </w:num>
  <w:num w:numId="10">
    <w:abstractNumId w:val="2"/>
  </w:num>
  <w:num w:numId="11">
    <w:abstractNumId w:val="3"/>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82B"/>
    <w:rsid w:val="001770F1"/>
    <w:rsid w:val="001C0284"/>
    <w:rsid w:val="001E55B5"/>
    <w:rsid w:val="003F783A"/>
    <w:rsid w:val="004B650A"/>
    <w:rsid w:val="004D50F2"/>
    <w:rsid w:val="00632FEB"/>
    <w:rsid w:val="00702727"/>
    <w:rsid w:val="009D37BB"/>
    <w:rsid w:val="00C212ED"/>
    <w:rsid w:val="00F063AF"/>
    <w:rsid w:val="00F328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02727"/>
    <w:pPr>
      <w:tabs>
        <w:tab w:val="center" w:pos="4320"/>
        <w:tab w:val="right" w:pos="8640"/>
      </w:tabs>
    </w:pPr>
  </w:style>
  <w:style w:type="character" w:customStyle="1" w:styleId="HeaderChar">
    <w:name w:val="Header Char"/>
    <w:basedOn w:val="DefaultParagraphFont"/>
    <w:link w:val="Header"/>
    <w:uiPriority w:val="99"/>
    <w:semiHidden/>
    <w:rsid w:val="00702727"/>
  </w:style>
  <w:style w:type="paragraph" w:styleId="Footer">
    <w:name w:val="footer"/>
    <w:basedOn w:val="Normal"/>
    <w:link w:val="FooterChar"/>
    <w:uiPriority w:val="99"/>
    <w:unhideWhenUsed/>
    <w:rsid w:val="00702727"/>
    <w:pPr>
      <w:tabs>
        <w:tab w:val="center" w:pos="4320"/>
        <w:tab w:val="right" w:pos="8640"/>
      </w:tabs>
    </w:pPr>
  </w:style>
  <w:style w:type="character" w:customStyle="1" w:styleId="FooterChar">
    <w:name w:val="Footer Char"/>
    <w:basedOn w:val="DefaultParagraphFont"/>
    <w:link w:val="Footer"/>
    <w:uiPriority w:val="99"/>
    <w:rsid w:val="00702727"/>
  </w:style>
  <w:style w:type="table" w:customStyle="1" w:styleId="TableGrid1">
    <w:name w:val="Table Grid1"/>
    <w:basedOn w:val="TableNormal"/>
    <w:next w:val="TableGrid"/>
    <w:uiPriority w:val="59"/>
    <w:rsid w:val="003F783A"/>
    <w:rPr>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Text1">
    <w:name w:val="Endnote Text1"/>
    <w:basedOn w:val="Normal"/>
    <w:next w:val="EndnoteText"/>
    <w:link w:val="EndnoteTextChar"/>
    <w:uiPriority w:val="99"/>
    <w:semiHidden/>
    <w:unhideWhenUsed/>
    <w:rsid w:val="003F783A"/>
    <w:rPr>
      <w:sz w:val="20"/>
      <w:szCs w:val="20"/>
    </w:rPr>
  </w:style>
  <w:style w:type="character" w:customStyle="1" w:styleId="EndnoteTextChar">
    <w:name w:val="Endnote Text Char"/>
    <w:basedOn w:val="DefaultParagraphFont"/>
    <w:link w:val="EndnoteText1"/>
    <w:uiPriority w:val="99"/>
    <w:semiHidden/>
    <w:rsid w:val="003F783A"/>
    <w:rPr>
      <w:sz w:val="20"/>
      <w:szCs w:val="20"/>
    </w:rPr>
  </w:style>
  <w:style w:type="character" w:styleId="EndnoteReference">
    <w:name w:val="endnote reference"/>
    <w:basedOn w:val="DefaultParagraphFont"/>
    <w:uiPriority w:val="99"/>
    <w:unhideWhenUsed/>
    <w:rsid w:val="003F783A"/>
    <w:rPr>
      <w:vertAlign w:val="superscript"/>
    </w:rPr>
  </w:style>
  <w:style w:type="table" w:styleId="TableGrid">
    <w:name w:val="Table Grid"/>
    <w:basedOn w:val="TableNormal"/>
    <w:uiPriority w:val="59"/>
    <w:rsid w:val="003F7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1"/>
    <w:uiPriority w:val="99"/>
    <w:semiHidden/>
    <w:unhideWhenUsed/>
    <w:rsid w:val="003F783A"/>
    <w:rPr>
      <w:sz w:val="20"/>
      <w:szCs w:val="20"/>
    </w:rPr>
  </w:style>
  <w:style w:type="character" w:customStyle="1" w:styleId="EndnoteTextChar1">
    <w:name w:val="Endnote Text Char1"/>
    <w:basedOn w:val="DefaultParagraphFont"/>
    <w:link w:val="EndnoteText"/>
    <w:uiPriority w:val="99"/>
    <w:semiHidden/>
    <w:rsid w:val="003F783A"/>
    <w:rPr>
      <w:sz w:val="20"/>
      <w:szCs w:val="20"/>
    </w:rPr>
  </w:style>
  <w:style w:type="paragraph" w:styleId="BalloonText">
    <w:name w:val="Balloon Text"/>
    <w:basedOn w:val="Normal"/>
    <w:link w:val="BalloonTextChar"/>
    <w:uiPriority w:val="99"/>
    <w:semiHidden/>
    <w:unhideWhenUsed/>
    <w:rsid w:val="00C212ED"/>
    <w:rPr>
      <w:rFonts w:ascii="Tahoma" w:hAnsi="Tahoma" w:cs="Tahoma"/>
      <w:sz w:val="16"/>
      <w:szCs w:val="16"/>
    </w:rPr>
  </w:style>
  <w:style w:type="character" w:customStyle="1" w:styleId="BalloonTextChar">
    <w:name w:val="Balloon Text Char"/>
    <w:basedOn w:val="DefaultParagraphFont"/>
    <w:link w:val="BalloonText"/>
    <w:uiPriority w:val="99"/>
    <w:semiHidden/>
    <w:rsid w:val="00C212ED"/>
    <w:rPr>
      <w:rFonts w:ascii="Tahoma" w:hAnsi="Tahoma" w:cs="Tahoma"/>
      <w:sz w:val="16"/>
      <w:szCs w:val="16"/>
    </w:rPr>
  </w:style>
  <w:style w:type="character" w:customStyle="1" w:styleId="Hyperlink1">
    <w:name w:val="Hyperlink1"/>
    <w:basedOn w:val="DefaultParagraphFont"/>
    <w:uiPriority w:val="99"/>
    <w:unhideWhenUsed/>
    <w:rsid w:val="004D50F2"/>
    <w:rPr>
      <w:color w:val="0000FF"/>
      <w:u w:val="single"/>
    </w:rPr>
  </w:style>
  <w:style w:type="character" w:styleId="Hyperlink">
    <w:name w:val="Hyperlink"/>
    <w:basedOn w:val="DefaultParagraphFont"/>
    <w:uiPriority w:val="99"/>
    <w:semiHidden/>
    <w:unhideWhenUsed/>
    <w:rsid w:val="004D50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02727"/>
    <w:pPr>
      <w:tabs>
        <w:tab w:val="center" w:pos="4320"/>
        <w:tab w:val="right" w:pos="8640"/>
      </w:tabs>
    </w:pPr>
  </w:style>
  <w:style w:type="character" w:customStyle="1" w:styleId="HeaderChar">
    <w:name w:val="Header Char"/>
    <w:basedOn w:val="DefaultParagraphFont"/>
    <w:link w:val="Header"/>
    <w:uiPriority w:val="99"/>
    <w:semiHidden/>
    <w:rsid w:val="00702727"/>
  </w:style>
  <w:style w:type="paragraph" w:styleId="Footer">
    <w:name w:val="footer"/>
    <w:basedOn w:val="Normal"/>
    <w:link w:val="FooterChar"/>
    <w:uiPriority w:val="99"/>
    <w:unhideWhenUsed/>
    <w:rsid w:val="00702727"/>
    <w:pPr>
      <w:tabs>
        <w:tab w:val="center" w:pos="4320"/>
        <w:tab w:val="right" w:pos="8640"/>
      </w:tabs>
    </w:pPr>
  </w:style>
  <w:style w:type="character" w:customStyle="1" w:styleId="FooterChar">
    <w:name w:val="Footer Char"/>
    <w:basedOn w:val="DefaultParagraphFont"/>
    <w:link w:val="Footer"/>
    <w:uiPriority w:val="99"/>
    <w:rsid w:val="00702727"/>
  </w:style>
  <w:style w:type="table" w:customStyle="1" w:styleId="TableGrid1">
    <w:name w:val="Table Grid1"/>
    <w:basedOn w:val="TableNormal"/>
    <w:next w:val="TableGrid"/>
    <w:uiPriority w:val="59"/>
    <w:rsid w:val="003F783A"/>
    <w:rPr>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Text1">
    <w:name w:val="Endnote Text1"/>
    <w:basedOn w:val="Normal"/>
    <w:next w:val="EndnoteText"/>
    <w:link w:val="EndnoteTextChar"/>
    <w:uiPriority w:val="99"/>
    <w:semiHidden/>
    <w:unhideWhenUsed/>
    <w:rsid w:val="003F783A"/>
    <w:rPr>
      <w:sz w:val="20"/>
      <w:szCs w:val="20"/>
    </w:rPr>
  </w:style>
  <w:style w:type="character" w:customStyle="1" w:styleId="EndnoteTextChar">
    <w:name w:val="Endnote Text Char"/>
    <w:basedOn w:val="DefaultParagraphFont"/>
    <w:link w:val="EndnoteText1"/>
    <w:uiPriority w:val="99"/>
    <w:semiHidden/>
    <w:rsid w:val="003F783A"/>
    <w:rPr>
      <w:sz w:val="20"/>
      <w:szCs w:val="20"/>
    </w:rPr>
  </w:style>
  <w:style w:type="character" w:styleId="EndnoteReference">
    <w:name w:val="endnote reference"/>
    <w:basedOn w:val="DefaultParagraphFont"/>
    <w:uiPriority w:val="99"/>
    <w:unhideWhenUsed/>
    <w:rsid w:val="003F783A"/>
    <w:rPr>
      <w:vertAlign w:val="superscript"/>
    </w:rPr>
  </w:style>
  <w:style w:type="table" w:styleId="TableGrid">
    <w:name w:val="Table Grid"/>
    <w:basedOn w:val="TableNormal"/>
    <w:uiPriority w:val="59"/>
    <w:rsid w:val="003F7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1"/>
    <w:uiPriority w:val="99"/>
    <w:semiHidden/>
    <w:unhideWhenUsed/>
    <w:rsid w:val="003F783A"/>
    <w:rPr>
      <w:sz w:val="20"/>
      <w:szCs w:val="20"/>
    </w:rPr>
  </w:style>
  <w:style w:type="character" w:customStyle="1" w:styleId="EndnoteTextChar1">
    <w:name w:val="Endnote Text Char1"/>
    <w:basedOn w:val="DefaultParagraphFont"/>
    <w:link w:val="EndnoteText"/>
    <w:uiPriority w:val="99"/>
    <w:semiHidden/>
    <w:rsid w:val="003F783A"/>
    <w:rPr>
      <w:sz w:val="20"/>
      <w:szCs w:val="20"/>
    </w:rPr>
  </w:style>
  <w:style w:type="paragraph" w:styleId="BalloonText">
    <w:name w:val="Balloon Text"/>
    <w:basedOn w:val="Normal"/>
    <w:link w:val="BalloonTextChar"/>
    <w:uiPriority w:val="99"/>
    <w:semiHidden/>
    <w:unhideWhenUsed/>
    <w:rsid w:val="00C212ED"/>
    <w:rPr>
      <w:rFonts w:ascii="Tahoma" w:hAnsi="Tahoma" w:cs="Tahoma"/>
      <w:sz w:val="16"/>
      <w:szCs w:val="16"/>
    </w:rPr>
  </w:style>
  <w:style w:type="character" w:customStyle="1" w:styleId="BalloonTextChar">
    <w:name w:val="Balloon Text Char"/>
    <w:basedOn w:val="DefaultParagraphFont"/>
    <w:link w:val="BalloonText"/>
    <w:uiPriority w:val="99"/>
    <w:semiHidden/>
    <w:rsid w:val="00C212ED"/>
    <w:rPr>
      <w:rFonts w:ascii="Tahoma" w:hAnsi="Tahoma" w:cs="Tahoma"/>
      <w:sz w:val="16"/>
      <w:szCs w:val="16"/>
    </w:rPr>
  </w:style>
  <w:style w:type="character" w:customStyle="1" w:styleId="Hyperlink1">
    <w:name w:val="Hyperlink1"/>
    <w:basedOn w:val="DefaultParagraphFont"/>
    <w:uiPriority w:val="99"/>
    <w:unhideWhenUsed/>
    <w:rsid w:val="004D50F2"/>
    <w:rPr>
      <w:color w:val="0000FF"/>
      <w:u w:val="single"/>
    </w:rPr>
  </w:style>
  <w:style w:type="character" w:styleId="Hyperlink">
    <w:name w:val="Hyperlink"/>
    <w:basedOn w:val="DefaultParagraphFont"/>
    <w:uiPriority w:val="99"/>
    <w:semiHidden/>
    <w:unhideWhenUsed/>
    <w:rsid w:val="004D50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forecast.id.com.au/whittlese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5B674125.dotm</Template>
  <TotalTime>5</TotalTime>
  <Pages>4</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Sujo Design</Company>
  <LinksUpToDate>false</LinksUpToDate>
  <CharactersWithSpaces>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 Szuravlevicz</dc:creator>
  <cp:lastModifiedBy>Thiyagerajah Abarajitha</cp:lastModifiedBy>
  <cp:revision>7</cp:revision>
  <cp:lastPrinted>2014-08-28T04:25:00Z</cp:lastPrinted>
  <dcterms:created xsi:type="dcterms:W3CDTF">2014-08-27T06:36:00Z</dcterms:created>
  <dcterms:modified xsi:type="dcterms:W3CDTF">2014-08-28T04:25:00Z</dcterms:modified>
</cp:coreProperties>
</file>