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07" w:rsidRPr="00FD7C07" w:rsidRDefault="00FD7C07" w:rsidP="00FD7C07">
      <w:pPr>
        <w:ind w:left="-1800" w:right="-1800" w:firstLine="1800"/>
        <w:rPr>
          <w:rFonts w:ascii="Arial" w:eastAsia="Cambria" w:hAnsi="Arial" w:cs="Arial"/>
          <w:sz w:val="20"/>
          <w:lang w:val="en-AU"/>
        </w:rPr>
      </w:pPr>
      <w:bookmarkStart w:id="0" w:name="_GoBack"/>
      <w:bookmarkEnd w:id="0"/>
      <w:r w:rsidRPr="00FD7C07">
        <w:rPr>
          <w:rFonts w:ascii="Arial" w:eastAsia="Cambria" w:hAnsi="Arial" w:cs="Arial"/>
          <w:sz w:val="20"/>
          <w:lang w:val="en-AU"/>
        </w:rPr>
        <w:t xml:space="preserve">ADVOCACY FACT SHEET </w:t>
      </w:r>
      <w:r>
        <w:rPr>
          <w:rFonts w:ascii="Arial" w:eastAsia="Cambria" w:hAnsi="Arial" w:cs="Arial"/>
          <w:sz w:val="20"/>
          <w:lang w:val="en-AU"/>
        </w:rPr>
        <w:t>3</w:t>
      </w:r>
    </w:p>
    <w:p w:rsidR="00CF1F8A" w:rsidRDefault="00CF1F8A" w:rsidP="00F3282B">
      <w:pPr>
        <w:ind w:left="-1800" w:right="-1800" w:firstLine="1800"/>
        <w:rPr>
          <w:lang w:val="en-AU"/>
        </w:rPr>
      </w:pPr>
    </w:p>
    <w:p w:rsidR="00CF1F8A" w:rsidRDefault="00CF1F8A" w:rsidP="00F3282B">
      <w:pPr>
        <w:ind w:left="-1800" w:right="-1800" w:firstLine="1800"/>
        <w:rPr>
          <w:lang w:val="en-AU"/>
        </w:rPr>
      </w:pPr>
    </w:p>
    <w:p w:rsidR="00CF1F8A" w:rsidRPr="00CF1F8A" w:rsidRDefault="00CF1F8A" w:rsidP="00CF1F8A">
      <w:pPr>
        <w:pBdr>
          <w:bottom w:val="single" w:sz="8" w:space="11" w:color="4F81BD"/>
        </w:pBdr>
        <w:spacing w:after="300"/>
        <w:contextualSpacing/>
        <w:rPr>
          <w:rFonts w:ascii="Arial" w:eastAsia="Times New Roman" w:hAnsi="Arial" w:cs="Arial"/>
          <w:color w:val="17365D"/>
          <w:spacing w:val="5"/>
          <w:kern w:val="28"/>
          <w:sz w:val="44"/>
          <w:szCs w:val="44"/>
          <w:lang w:val="en-AU"/>
        </w:rPr>
      </w:pPr>
      <w:r w:rsidRPr="00CF1F8A">
        <w:rPr>
          <w:rFonts w:ascii="Arial" w:eastAsia="Times New Roman" w:hAnsi="Arial" w:cs="Arial"/>
          <w:color w:val="17365D"/>
          <w:spacing w:val="5"/>
          <w:kern w:val="28"/>
          <w:sz w:val="44"/>
          <w:szCs w:val="44"/>
          <w:lang w:val="en-AU"/>
        </w:rPr>
        <w:t xml:space="preserve">Primary </w:t>
      </w:r>
      <w:r>
        <w:rPr>
          <w:rFonts w:ascii="Arial" w:eastAsia="Times New Roman" w:hAnsi="Arial" w:cs="Arial"/>
          <w:color w:val="17365D"/>
          <w:spacing w:val="5"/>
          <w:kern w:val="28"/>
          <w:sz w:val="44"/>
          <w:szCs w:val="44"/>
          <w:lang w:val="en-AU"/>
        </w:rPr>
        <w:t>P</w:t>
      </w:r>
      <w:r w:rsidRPr="00CF1F8A">
        <w:rPr>
          <w:rFonts w:ascii="Arial" w:eastAsia="Times New Roman" w:hAnsi="Arial" w:cs="Arial"/>
          <w:color w:val="17365D"/>
          <w:spacing w:val="5"/>
          <w:kern w:val="28"/>
          <w:sz w:val="44"/>
          <w:szCs w:val="44"/>
          <w:lang w:val="en-AU"/>
        </w:rPr>
        <w:t xml:space="preserve">revention in </w:t>
      </w:r>
      <w:r>
        <w:rPr>
          <w:rFonts w:ascii="Arial" w:eastAsia="Times New Roman" w:hAnsi="Arial" w:cs="Arial"/>
          <w:color w:val="17365D"/>
          <w:spacing w:val="5"/>
          <w:kern w:val="28"/>
          <w:sz w:val="44"/>
          <w:szCs w:val="44"/>
          <w:lang w:val="en-AU"/>
        </w:rPr>
        <w:t>S</w:t>
      </w:r>
      <w:r w:rsidRPr="00CF1F8A">
        <w:rPr>
          <w:rFonts w:ascii="Arial" w:eastAsia="Times New Roman" w:hAnsi="Arial" w:cs="Arial"/>
          <w:color w:val="17365D"/>
          <w:spacing w:val="5"/>
          <w:kern w:val="28"/>
          <w:sz w:val="44"/>
          <w:szCs w:val="44"/>
          <w:lang w:val="en-AU"/>
        </w:rPr>
        <w:t>chools -</w:t>
      </w:r>
      <w:r>
        <w:rPr>
          <w:rFonts w:ascii="Arial" w:eastAsia="Times New Roman" w:hAnsi="Arial" w:cs="Arial"/>
          <w:color w:val="17365D"/>
          <w:spacing w:val="5"/>
          <w:kern w:val="28"/>
          <w:sz w:val="44"/>
          <w:szCs w:val="44"/>
          <w:lang w:val="en-AU"/>
        </w:rPr>
        <w:t xml:space="preserve"> P</w:t>
      </w:r>
      <w:r w:rsidRPr="00CF1F8A">
        <w:rPr>
          <w:rFonts w:ascii="Arial" w:eastAsia="Times New Roman" w:hAnsi="Arial" w:cs="Arial"/>
          <w:color w:val="17365D"/>
          <w:spacing w:val="5"/>
          <w:kern w:val="28"/>
          <w:sz w:val="44"/>
          <w:szCs w:val="44"/>
          <w:lang w:val="en-AU"/>
        </w:rPr>
        <w:t>reventing</w:t>
      </w:r>
      <w:r>
        <w:rPr>
          <w:rFonts w:ascii="Arial" w:eastAsia="Times New Roman" w:hAnsi="Arial" w:cs="Arial"/>
          <w:color w:val="17365D"/>
          <w:spacing w:val="5"/>
          <w:kern w:val="28"/>
          <w:sz w:val="44"/>
          <w:szCs w:val="44"/>
          <w:lang w:val="en-AU"/>
        </w:rPr>
        <w:t xml:space="preserve"> V</w:t>
      </w:r>
      <w:r w:rsidRPr="00CF1F8A">
        <w:rPr>
          <w:rFonts w:ascii="Arial" w:eastAsia="Times New Roman" w:hAnsi="Arial" w:cs="Arial"/>
          <w:color w:val="17365D"/>
          <w:spacing w:val="5"/>
          <w:kern w:val="28"/>
          <w:sz w:val="44"/>
          <w:szCs w:val="44"/>
          <w:lang w:val="en-AU"/>
        </w:rPr>
        <w:t xml:space="preserve">iolence </w:t>
      </w:r>
      <w:r>
        <w:rPr>
          <w:rFonts w:ascii="Arial" w:eastAsia="Times New Roman" w:hAnsi="Arial" w:cs="Arial"/>
          <w:color w:val="17365D"/>
          <w:spacing w:val="5"/>
          <w:kern w:val="28"/>
          <w:sz w:val="44"/>
          <w:szCs w:val="44"/>
          <w:lang w:val="en-AU"/>
        </w:rPr>
        <w:t>a</w:t>
      </w:r>
      <w:r w:rsidRPr="00CF1F8A">
        <w:rPr>
          <w:rFonts w:ascii="Arial" w:eastAsia="Times New Roman" w:hAnsi="Arial" w:cs="Arial"/>
          <w:color w:val="17365D"/>
          <w:spacing w:val="5"/>
          <w:kern w:val="28"/>
          <w:sz w:val="44"/>
          <w:szCs w:val="44"/>
          <w:lang w:val="en-AU"/>
        </w:rPr>
        <w:t xml:space="preserve">gainst </w:t>
      </w:r>
      <w:r>
        <w:rPr>
          <w:rFonts w:ascii="Arial" w:eastAsia="Times New Roman" w:hAnsi="Arial" w:cs="Arial"/>
          <w:color w:val="17365D"/>
          <w:spacing w:val="5"/>
          <w:kern w:val="28"/>
          <w:sz w:val="44"/>
          <w:szCs w:val="44"/>
          <w:lang w:val="en-AU"/>
        </w:rPr>
        <w:t>Women and C</w:t>
      </w:r>
      <w:r w:rsidRPr="00CF1F8A">
        <w:rPr>
          <w:rFonts w:ascii="Arial" w:eastAsia="Times New Roman" w:hAnsi="Arial" w:cs="Arial"/>
          <w:color w:val="17365D"/>
          <w:spacing w:val="5"/>
          <w:kern w:val="28"/>
          <w:sz w:val="44"/>
          <w:szCs w:val="44"/>
          <w:lang w:val="en-AU"/>
        </w:rPr>
        <w:t>hildren</w:t>
      </w:r>
    </w:p>
    <w:p w:rsidR="00CF1F8A" w:rsidRDefault="00CF1F8A" w:rsidP="00CF1F8A">
      <w:pPr>
        <w:spacing w:line="280" w:lineRule="atLeast"/>
        <w:contextualSpacing/>
        <w:rPr>
          <w:rFonts w:ascii="Arial" w:eastAsia="Times New Roman" w:hAnsi="Arial" w:cs="Arial"/>
          <w:b/>
          <w:bCs/>
          <w:color w:val="17365D"/>
          <w:sz w:val="22"/>
          <w:szCs w:val="22"/>
          <w:lang w:val="en-GB" w:eastAsia="en-AU"/>
        </w:rPr>
      </w:pPr>
    </w:p>
    <w:p w:rsidR="00CF1F8A" w:rsidRPr="00CF1F8A" w:rsidRDefault="00CF1F8A" w:rsidP="00CF1F8A">
      <w:pPr>
        <w:spacing w:line="280" w:lineRule="atLeast"/>
        <w:contextualSpacing/>
        <w:jc w:val="both"/>
        <w:rPr>
          <w:rFonts w:ascii="Arial" w:eastAsia="Times New Roman" w:hAnsi="Arial" w:cs="Arial"/>
          <w:bCs/>
          <w:color w:val="17365D"/>
          <w:sz w:val="22"/>
          <w:szCs w:val="22"/>
          <w:lang w:val="en-GB" w:eastAsia="en-AU"/>
        </w:rPr>
      </w:pPr>
      <w:r w:rsidRPr="00CF1F8A">
        <w:rPr>
          <w:rFonts w:ascii="Arial" w:eastAsia="Times New Roman" w:hAnsi="Arial" w:cs="Arial"/>
          <w:b/>
          <w:bCs/>
          <w:color w:val="17365D"/>
          <w:sz w:val="22"/>
          <w:szCs w:val="22"/>
          <w:lang w:val="en-GB" w:eastAsia="en-AU"/>
        </w:rPr>
        <w:t>Whittlesea Community Futures is seeking State Government support to implement a pilot program in schools with a focus on gender equity and respectful relationships to help prevent violence and sexual assault against women and children</w:t>
      </w:r>
    </w:p>
    <w:p w:rsidR="00CF1F8A" w:rsidRP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Pr="00CF1F8A" w:rsidRDefault="00CF1F8A" w:rsidP="00CF1F8A">
      <w:pPr>
        <w:spacing w:line="280" w:lineRule="atLeast"/>
        <w:contextualSpacing/>
        <w:jc w:val="both"/>
        <w:rPr>
          <w:rFonts w:ascii="Arial" w:eastAsia="Times New Roman" w:hAnsi="Arial" w:cs="Arial"/>
          <w:b/>
          <w:color w:val="0070C0"/>
          <w:sz w:val="22"/>
          <w:szCs w:val="22"/>
          <w:lang w:val="en-GB" w:eastAsia="en-AU"/>
        </w:rPr>
      </w:pPr>
      <w:r w:rsidRPr="00CF1F8A">
        <w:rPr>
          <w:rFonts w:ascii="Arial" w:eastAsia="Times New Roman" w:hAnsi="Arial" w:cs="Arial"/>
          <w:b/>
          <w:color w:val="0070C0"/>
          <w:sz w:val="22"/>
          <w:szCs w:val="22"/>
          <w:lang w:val="en-GB" w:eastAsia="en-AU"/>
        </w:rPr>
        <w:t>What is happening right now?</w:t>
      </w:r>
    </w:p>
    <w:p w:rsidR="00CF1F8A" w:rsidRP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Pr="00CF1F8A" w:rsidRDefault="00CF1F8A" w:rsidP="00CF1F8A">
      <w:pPr>
        <w:numPr>
          <w:ilvl w:val="0"/>
          <w:numId w:val="14"/>
        </w:numPr>
        <w:autoSpaceDE w:val="0"/>
        <w:autoSpaceDN w:val="0"/>
        <w:adjustRightInd w:val="0"/>
        <w:spacing w:line="280" w:lineRule="atLeast"/>
        <w:contextualSpacing/>
        <w:jc w:val="both"/>
        <w:rPr>
          <w:rFonts w:ascii="Arial" w:eastAsia="Times New Roman" w:hAnsi="Arial" w:cs="Arial"/>
          <w:sz w:val="22"/>
          <w:szCs w:val="22"/>
        </w:rPr>
      </w:pPr>
      <w:r w:rsidRPr="00CF1F8A">
        <w:rPr>
          <w:rFonts w:ascii="Arial" w:eastAsia="Times New Roman" w:hAnsi="Arial" w:cs="Arial"/>
          <w:sz w:val="22"/>
          <w:szCs w:val="22"/>
        </w:rPr>
        <w:t xml:space="preserve">2,110 family violence incidents in 2012-13 were reported to Victoria Police including one homicide (an increase of 35% on the previous year); </w:t>
      </w:r>
      <w:proofErr w:type="gramStart"/>
      <w:r w:rsidRPr="00CF1F8A">
        <w:rPr>
          <w:rFonts w:ascii="Arial" w:eastAsia="Times New Roman" w:hAnsi="Arial" w:cs="Arial"/>
          <w:sz w:val="22"/>
          <w:szCs w:val="22"/>
        </w:rPr>
        <w:t>In</w:t>
      </w:r>
      <w:proofErr w:type="gramEnd"/>
      <w:r w:rsidRPr="00CF1F8A">
        <w:rPr>
          <w:rFonts w:ascii="Arial" w:eastAsia="Times New Roman" w:hAnsi="Arial" w:cs="Arial"/>
          <w:sz w:val="22"/>
          <w:szCs w:val="22"/>
        </w:rPr>
        <w:t xml:space="preserve"> 743 of these incidents children were present.</w:t>
      </w:r>
      <w:r w:rsidRPr="00CF1F8A">
        <w:rPr>
          <w:rFonts w:ascii="Arial" w:eastAsia="Times New Roman" w:hAnsi="Arial" w:cs="Arial"/>
          <w:sz w:val="22"/>
          <w:szCs w:val="22"/>
          <w:vertAlign w:val="superscript"/>
        </w:rPr>
        <w:endnoteReference w:id="1"/>
      </w:r>
    </w:p>
    <w:p w:rsidR="00CF1F8A" w:rsidRPr="00CF1F8A" w:rsidRDefault="00CF1F8A" w:rsidP="00CF1F8A">
      <w:pPr>
        <w:autoSpaceDE w:val="0"/>
        <w:autoSpaceDN w:val="0"/>
        <w:adjustRightInd w:val="0"/>
        <w:spacing w:line="280" w:lineRule="atLeast"/>
        <w:contextualSpacing/>
        <w:jc w:val="both"/>
        <w:rPr>
          <w:rFonts w:ascii="Arial" w:eastAsia="Times New Roman" w:hAnsi="Arial" w:cs="Arial"/>
          <w:sz w:val="22"/>
          <w:szCs w:val="22"/>
        </w:rPr>
      </w:pPr>
    </w:p>
    <w:p w:rsidR="00CF1F8A" w:rsidRPr="00CF1F8A" w:rsidRDefault="00CF1F8A" w:rsidP="00CF1F8A">
      <w:pPr>
        <w:numPr>
          <w:ilvl w:val="0"/>
          <w:numId w:val="14"/>
        </w:numPr>
        <w:autoSpaceDE w:val="0"/>
        <w:autoSpaceDN w:val="0"/>
        <w:adjustRightInd w:val="0"/>
        <w:spacing w:line="280" w:lineRule="atLeast"/>
        <w:contextualSpacing/>
        <w:jc w:val="both"/>
        <w:rPr>
          <w:rFonts w:ascii="Arial" w:eastAsia="Times New Roman" w:hAnsi="Arial" w:cs="Arial"/>
          <w:sz w:val="22"/>
          <w:szCs w:val="22"/>
        </w:rPr>
      </w:pPr>
      <w:proofErr w:type="gramStart"/>
      <w:r w:rsidRPr="00CF1F8A">
        <w:rPr>
          <w:rFonts w:ascii="Arial" w:eastAsia="Times New Roman" w:hAnsi="Arial" w:cs="Arial"/>
          <w:sz w:val="22"/>
          <w:szCs w:val="22"/>
        </w:rPr>
        <w:t>An average of 41 family violence incidents are</w:t>
      </w:r>
      <w:proofErr w:type="gramEnd"/>
      <w:r w:rsidRPr="00CF1F8A">
        <w:rPr>
          <w:rFonts w:ascii="Arial" w:eastAsia="Times New Roman" w:hAnsi="Arial" w:cs="Arial"/>
          <w:sz w:val="22"/>
          <w:szCs w:val="22"/>
        </w:rPr>
        <w:t xml:space="preserve"> reported to Victoria Police </w:t>
      </w:r>
      <w:r w:rsidRPr="00CF1F8A">
        <w:rPr>
          <w:rFonts w:ascii="Arial" w:eastAsia="Times New Roman" w:hAnsi="Arial" w:cs="Arial"/>
          <w:i/>
          <w:sz w:val="22"/>
          <w:szCs w:val="22"/>
        </w:rPr>
        <w:t>every week</w:t>
      </w:r>
      <w:r w:rsidRPr="00CF1F8A">
        <w:rPr>
          <w:rFonts w:ascii="Arial" w:eastAsia="Times New Roman" w:hAnsi="Arial" w:cs="Arial"/>
          <w:sz w:val="22"/>
          <w:szCs w:val="22"/>
        </w:rPr>
        <w:t xml:space="preserve">. </w:t>
      </w:r>
    </w:p>
    <w:p w:rsidR="00CF1F8A" w:rsidRPr="00CF1F8A" w:rsidRDefault="00CF1F8A" w:rsidP="00CF1F8A">
      <w:pPr>
        <w:autoSpaceDE w:val="0"/>
        <w:autoSpaceDN w:val="0"/>
        <w:adjustRightInd w:val="0"/>
        <w:spacing w:line="280" w:lineRule="atLeast"/>
        <w:contextualSpacing/>
        <w:jc w:val="both"/>
        <w:rPr>
          <w:rFonts w:ascii="Arial" w:eastAsia="Times New Roman" w:hAnsi="Arial" w:cs="Arial"/>
          <w:sz w:val="22"/>
          <w:szCs w:val="22"/>
        </w:rPr>
      </w:pPr>
    </w:p>
    <w:p w:rsidR="00CF1F8A" w:rsidRPr="00CF1F8A" w:rsidRDefault="00CF1F8A" w:rsidP="00CF1F8A">
      <w:pPr>
        <w:numPr>
          <w:ilvl w:val="0"/>
          <w:numId w:val="14"/>
        </w:numPr>
        <w:autoSpaceDE w:val="0"/>
        <w:autoSpaceDN w:val="0"/>
        <w:adjustRightInd w:val="0"/>
        <w:spacing w:line="280" w:lineRule="atLeast"/>
        <w:contextualSpacing/>
        <w:jc w:val="both"/>
        <w:rPr>
          <w:rFonts w:ascii="Arial" w:eastAsia="Times New Roman" w:hAnsi="Arial" w:cs="Arial"/>
          <w:sz w:val="22"/>
          <w:szCs w:val="22"/>
        </w:rPr>
      </w:pPr>
      <w:r w:rsidRPr="00CF1F8A">
        <w:rPr>
          <w:rFonts w:ascii="Arial" w:eastAsia="Times New Roman" w:hAnsi="Arial" w:cs="Arial"/>
          <w:sz w:val="22"/>
          <w:szCs w:val="22"/>
        </w:rPr>
        <w:t>More than half of all assaults (56%) arose from family violence.</w:t>
      </w:r>
    </w:p>
    <w:p w:rsidR="00CF1F8A" w:rsidRPr="00CF1F8A" w:rsidRDefault="00CF1F8A" w:rsidP="00CF1F8A">
      <w:pPr>
        <w:autoSpaceDE w:val="0"/>
        <w:autoSpaceDN w:val="0"/>
        <w:adjustRightInd w:val="0"/>
        <w:spacing w:line="280" w:lineRule="atLeast"/>
        <w:contextualSpacing/>
        <w:jc w:val="both"/>
        <w:rPr>
          <w:rFonts w:ascii="Arial" w:eastAsia="Times New Roman" w:hAnsi="Arial" w:cs="Arial"/>
          <w:sz w:val="22"/>
          <w:szCs w:val="22"/>
        </w:rPr>
      </w:pPr>
    </w:p>
    <w:p w:rsidR="00CF1F8A" w:rsidRPr="00CF1F8A" w:rsidRDefault="00CF1F8A" w:rsidP="00CF1F8A">
      <w:pPr>
        <w:numPr>
          <w:ilvl w:val="0"/>
          <w:numId w:val="14"/>
        </w:numPr>
        <w:autoSpaceDE w:val="0"/>
        <w:autoSpaceDN w:val="0"/>
        <w:adjustRightInd w:val="0"/>
        <w:spacing w:line="280" w:lineRule="atLeast"/>
        <w:contextualSpacing/>
        <w:jc w:val="both"/>
        <w:rPr>
          <w:rFonts w:ascii="Arial" w:eastAsia="Times New Roman" w:hAnsi="Arial" w:cs="Arial"/>
          <w:sz w:val="22"/>
          <w:szCs w:val="22"/>
        </w:rPr>
      </w:pPr>
      <w:r w:rsidRPr="00CF1F8A">
        <w:rPr>
          <w:rFonts w:ascii="Arial" w:eastAsia="Times New Roman" w:hAnsi="Arial" w:cs="Arial"/>
          <w:sz w:val="22"/>
          <w:szCs w:val="22"/>
        </w:rPr>
        <w:t>Family violence was the context for 46% of all rapes and 15% of all other sex offences (95% of the victims were female; 100% of the alleged offenders were male).</w:t>
      </w:r>
      <w:r w:rsidRPr="00CF1F8A">
        <w:rPr>
          <w:rFonts w:ascii="Arial" w:eastAsia="Times New Roman" w:hAnsi="Arial" w:cs="Arial"/>
          <w:sz w:val="22"/>
          <w:szCs w:val="22"/>
          <w:vertAlign w:val="superscript"/>
        </w:rPr>
        <w:endnoteReference w:id="2"/>
      </w:r>
    </w:p>
    <w:p w:rsidR="00CF1F8A" w:rsidRPr="00CF1F8A" w:rsidRDefault="00CF1F8A" w:rsidP="00CF1F8A">
      <w:pPr>
        <w:autoSpaceDE w:val="0"/>
        <w:autoSpaceDN w:val="0"/>
        <w:adjustRightInd w:val="0"/>
        <w:spacing w:line="280" w:lineRule="atLeast"/>
        <w:contextualSpacing/>
        <w:jc w:val="both"/>
        <w:rPr>
          <w:rFonts w:ascii="Arial" w:eastAsia="Times New Roman" w:hAnsi="Arial" w:cs="Arial"/>
          <w:sz w:val="22"/>
          <w:szCs w:val="22"/>
        </w:rPr>
      </w:pPr>
    </w:p>
    <w:p w:rsidR="00CF1F8A" w:rsidRPr="00CF1F8A" w:rsidRDefault="00CF1F8A" w:rsidP="00CF1F8A">
      <w:pPr>
        <w:numPr>
          <w:ilvl w:val="0"/>
          <w:numId w:val="14"/>
        </w:numPr>
        <w:autoSpaceDE w:val="0"/>
        <w:autoSpaceDN w:val="0"/>
        <w:adjustRightInd w:val="0"/>
        <w:spacing w:line="280" w:lineRule="atLeast"/>
        <w:contextualSpacing/>
        <w:jc w:val="both"/>
        <w:rPr>
          <w:rFonts w:ascii="Arial" w:eastAsia="Times New Roman" w:hAnsi="Arial" w:cs="Arial"/>
          <w:sz w:val="22"/>
          <w:szCs w:val="22"/>
        </w:rPr>
      </w:pPr>
      <w:r w:rsidRPr="00CF1F8A">
        <w:rPr>
          <w:rFonts w:ascii="Arial" w:eastAsia="Times New Roman" w:hAnsi="Arial" w:cs="Arial"/>
          <w:sz w:val="22"/>
          <w:szCs w:val="22"/>
        </w:rPr>
        <w:t xml:space="preserve">Significantly more referrals (3618) to the regional family violence service from Victoria Police for women from the Whittlesea municipality than from </w:t>
      </w:r>
      <w:r w:rsidRPr="00CF1F8A">
        <w:rPr>
          <w:rFonts w:ascii="Arial" w:eastAsia="Times New Roman" w:hAnsi="Arial" w:cs="Arial"/>
          <w:i/>
          <w:sz w:val="22"/>
          <w:szCs w:val="22"/>
        </w:rPr>
        <w:t>any other municipality</w:t>
      </w:r>
      <w:r w:rsidRPr="00CF1F8A">
        <w:rPr>
          <w:rFonts w:ascii="Arial" w:eastAsia="Times New Roman" w:hAnsi="Arial" w:cs="Arial"/>
          <w:sz w:val="22"/>
          <w:szCs w:val="22"/>
        </w:rPr>
        <w:t xml:space="preserve"> in the Northern Metropolitan Region (NMR).</w:t>
      </w:r>
      <w:r w:rsidRPr="00CF1F8A">
        <w:rPr>
          <w:rFonts w:ascii="Arial" w:eastAsia="Times New Roman" w:hAnsi="Arial" w:cs="Arial"/>
          <w:sz w:val="22"/>
          <w:szCs w:val="22"/>
          <w:vertAlign w:val="superscript"/>
        </w:rPr>
        <w:endnoteReference w:id="3"/>
      </w:r>
    </w:p>
    <w:p w:rsidR="00CF1F8A" w:rsidRPr="00CF1F8A" w:rsidRDefault="00CF1F8A" w:rsidP="00CF1F8A">
      <w:pPr>
        <w:autoSpaceDE w:val="0"/>
        <w:autoSpaceDN w:val="0"/>
        <w:adjustRightInd w:val="0"/>
        <w:spacing w:line="280" w:lineRule="atLeast"/>
        <w:contextualSpacing/>
        <w:jc w:val="both"/>
        <w:rPr>
          <w:rFonts w:ascii="Arial" w:eastAsia="Times New Roman" w:hAnsi="Arial" w:cs="Arial"/>
          <w:sz w:val="22"/>
          <w:szCs w:val="22"/>
        </w:rPr>
      </w:pPr>
    </w:p>
    <w:p w:rsidR="00CF1F8A" w:rsidRPr="00CF1F8A" w:rsidRDefault="00CF1F8A" w:rsidP="00CF1F8A">
      <w:pPr>
        <w:numPr>
          <w:ilvl w:val="0"/>
          <w:numId w:val="14"/>
        </w:numPr>
        <w:autoSpaceDE w:val="0"/>
        <w:autoSpaceDN w:val="0"/>
        <w:adjustRightInd w:val="0"/>
        <w:spacing w:line="280" w:lineRule="atLeast"/>
        <w:contextualSpacing/>
        <w:jc w:val="both"/>
        <w:rPr>
          <w:rFonts w:ascii="Arial" w:eastAsia="Times New Roman" w:hAnsi="Arial" w:cs="Arial"/>
          <w:sz w:val="22"/>
          <w:szCs w:val="22"/>
        </w:rPr>
      </w:pPr>
      <w:r w:rsidRPr="00CF1F8A">
        <w:rPr>
          <w:rFonts w:ascii="Arial" w:eastAsia="Times New Roman" w:hAnsi="Arial" w:cs="Arial"/>
          <w:sz w:val="22"/>
          <w:szCs w:val="22"/>
        </w:rPr>
        <w:t>In September 2013, Victoria Police attended 170 call outs to family violence incidents in the Whittlesea LGA. Of these, 84% were to recidivist addresses,</w:t>
      </w:r>
      <w:r w:rsidRPr="00CF1F8A">
        <w:rPr>
          <w:rFonts w:ascii="Arial" w:eastAsia="Times New Roman" w:hAnsi="Arial" w:cs="Arial"/>
          <w:sz w:val="22"/>
          <w:szCs w:val="22"/>
          <w:vertAlign w:val="superscript"/>
        </w:rPr>
        <w:endnoteReference w:id="4"/>
      </w:r>
      <w:r w:rsidRPr="00CF1F8A">
        <w:rPr>
          <w:rFonts w:ascii="Arial" w:eastAsia="Times New Roman" w:hAnsi="Arial" w:cs="Arial"/>
          <w:sz w:val="22"/>
          <w:szCs w:val="22"/>
        </w:rPr>
        <w:t xml:space="preserve"> the highest number for the Northern Division 5.</w:t>
      </w:r>
    </w:p>
    <w:p w:rsidR="00CF1F8A" w:rsidRP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Pr="00CF1F8A" w:rsidRDefault="00CF1F8A" w:rsidP="00CF1F8A">
      <w:pPr>
        <w:spacing w:line="280" w:lineRule="atLeast"/>
        <w:contextualSpacing/>
        <w:jc w:val="both"/>
        <w:rPr>
          <w:rFonts w:ascii="Arial" w:eastAsia="Times New Roman" w:hAnsi="Arial" w:cs="Arial"/>
          <w:b/>
          <w:color w:val="0070C0"/>
          <w:sz w:val="22"/>
          <w:szCs w:val="22"/>
          <w:lang w:val="en-GB" w:eastAsia="en-AU"/>
        </w:rPr>
      </w:pPr>
      <w:r w:rsidRPr="00CF1F8A">
        <w:rPr>
          <w:rFonts w:ascii="Arial" w:eastAsia="Times New Roman" w:hAnsi="Arial" w:cs="Arial"/>
          <w:b/>
          <w:color w:val="0070C0"/>
          <w:sz w:val="22"/>
          <w:szCs w:val="22"/>
          <w:lang w:val="en-GB" w:eastAsia="en-AU"/>
        </w:rPr>
        <w:t>How can we build a better future?</w:t>
      </w:r>
    </w:p>
    <w:p w:rsidR="00CF1F8A" w:rsidRPr="00CF1F8A" w:rsidRDefault="00CF1F8A" w:rsidP="00CF1F8A">
      <w:pPr>
        <w:spacing w:line="280" w:lineRule="atLeast"/>
        <w:contextualSpacing/>
        <w:jc w:val="both"/>
        <w:rPr>
          <w:rFonts w:ascii="Arial" w:eastAsia="Calibri" w:hAnsi="Arial" w:cs="Arial"/>
          <w:sz w:val="22"/>
          <w:szCs w:val="22"/>
          <w:lang w:val="en-GB"/>
        </w:rPr>
      </w:pPr>
    </w:p>
    <w:p w:rsidR="00CF1F8A" w:rsidRPr="00CF1F8A" w:rsidRDefault="00CF1F8A" w:rsidP="00CF1F8A">
      <w:pPr>
        <w:spacing w:line="280" w:lineRule="atLeast"/>
        <w:contextualSpacing/>
        <w:jc w:val="both"/>
        <w:rPr>
          <w:rFonts w:ascii="Arial" w:eastAsia="Calibri" w:hAnsi="Arial" w:cs="Arial"/>
          <w:sz w:val="22"/>
          <w:szCs w:val="22"/>
          <w:lang w:val="en-GB"/>
        </w:rPr>
      </w:pPr>
      <w:r w:rsidRPr="00CF1F8A">
        <w:rPr>
          <w:rFonts w:ascii="Arial" w:eastAsia="Calibri" w:hAnsi="Arial" w:cs="Arial"/>
          <w:sz w:val="22"/>
          <w:szCs w:val="22"/>
          <w:lang w:val="en-GB"/>
        </w:rPr>
        <w:t>There is a powerful rationale for embedding education about gender equity and respectful relationships in schools to prevent violence against women and children</w:t>
      </w:r>
      <w:r w:rsidRPr="00CF1F8A">
        <w:rPr>
          <w:rFonts w:ascii="Arial" w:eastAsia="Calibri" w:hAnsi="Arial" w:cs="Arial"/>
          <w:sz w:val="22"/>
          <w:szCs w:val="22"/>
          <w:vertAlign w:val="superscript"/>
          <w:lang w:val="en-GB"/>
        </w:rPr>
        <w:endnoteReference w:id="5"/>
      </w:r>
      <w:r w:rsidRPr="00CF1F8A">
        <w:rPr>
          <w:rFonts w:ascii="Arial" w:eastAsia="Calibri" w:hAnsi="Arial" w:cs="Arial"/>
          <w:sz w:val="22"/>
          <w:szCs w:val="22"/>
          <w:lang w:val="en-GB"/>
        </w:rPr>
        <w:t xml:space="preserve">. Early interventions with children and young people can have a lasting effect on their relationships in the future.  Schools are logical sites for violence prevention education because of the volume of young people they engage. </w:t>
      </w:r>
    </w:p>
    <w:p w:rsidR="00CF1F8A" w:rsidRPr="00CF1F8A" w:rsidRDefault="00CF1F8A" w:rsidP="00CF1F8A">
      <w:pPr>
        <w:spacing w:line="280" w:lineRule="atLeast"/>
        <w:contextualSpacing/>
        <w:jc w:val="both"/>
        <w:rPr>
          <w:rFonts w:ascii="Arial" w:eastAsia="Calibri" w:hAnsi="Arial" w:cs="Arial"/>
          <w:sz w:val="22"/>
          <w:szCs w:val="22"/>
          <w:lang w:val="en-GB"/>
        </w:rPr>
      </w:pPr>
    </w:p>
    <w:p w:rsid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Pr="00CF1F8A" w:rsidRDefault="00CF1F8A" w:rsidP="00CF1F8A">
      <w:pPr>
        <w:spacing w:line="280" w:lineRule="atLeast"/>
        <w:contextualSpacing/>
        <w:jc w:val="both"/>
        <w:rPr>
          <w:rFonts w:ascii="Arial" w:eastAsia="Times New Roman" w:hAnsi="Arial" w:cs="Arial"/>
          <w:b/>
          <w:color w:val="0070C0"/>
          <w:sz w:val="22"/>
          <w:szCs w:val="22"/>
          <w:lang w:val="en-GB" w:eastAsia="en-AU"/>
        </w:rPr>
      </w:pPr>
      <w:r w:rsidRPr="00CF1F8A">
        <w:rPr>
          <w:rFonts w:ascii="Arial" w:eastAsia="Times New Roman" w:hAnsi="Arial" w:cs="Arial"/>
          <w:b/>
          <w:color w:val="0070C0"/>
          <w:sz w:val="22"/>
          <w:szCs w:val="22"/>
          <w:lang w:val="en-GB" w:eastAsia="en-AU"/>
        </w:rPr>
        <w:t>How much will it cost?</w:t>
      </w:r>
    </w:p>
    <w:p w:rsidR="00CF1F8A" w:rsidRPr="00CF1F8A" w:rsidRDefault="00CF1F8A" w:rsidP="00CF1F8A">
      <w:pPr>
        <w:spacing w:line="280" w:lineRule="atLeast"/>
        <w:contextualSpacing/>
        <w:jc w:val="both"/>
        <w:rPr>
          <w:rFonts w:ascii="Arial" w:eastAsia="Times New Roman" w:hAnsi="Arial" w:cs="Arial"/>
          <w:b/>
          <w:color w:val="0070C0"/>
          <w:sz w:val="22"/>
          <w:szCs w:val="22"/>
          <w:lang w:val="en-GB" w:eastAsia="en-AU"/>
        </w:rPr>
      </w:pPr>
    </w:p>
    <w:tbl>
      <w:tblPr>
        <w:tblStyle w:val="LightGrid-Accent11"/>
        <w:tblW w:w="5000" w:type="pct"/>
        <w:jc w:val="center"/>
        <w:tblLook w:val="04A0" w:firstRow="1" w:lastRow="0" w:firstColumn="1" w:lastColumn="0" w:noHBand="0" w:noVBand="1"/>
      </w:tblPr>
      <w:tblGrid>
        <w:gridCol w:w="4044"/>
        <w:gridCol w:w="3472"/>
        <w:gridCol w:w="2332"/>
      </w:tblGrid>
      <w:tr w:rsidR="00CF1F8A" w:rsidRPr="00CF1F8A" w:rsidTr="0031488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3" w:type="pct"/>
          </w:tcPr>
          <w:p w:rsidR="00CF1F8A" w:rsidRPr="00CF1F8A" w:rsidRDefault="00CF1F8A" w:rsidP="00CF1F8A">
            <w:pPr>
              <w:spacing w:line="280" w:lineRule="atLeast"/>
              <w:contextualSpacing/>
              <w:rPr>
                <w:rFonts w:ascii="Arial" w:eastAsia="Calibri" w:hAnsi="Arial" w:cs="Arial"/>
                <w:lang w:val="en-GB"/>
              </w:rPr>
            </w:pPr>
            <w:r w:rsidRPr="00CF1F8A">
              <w:rPr>
                <w:rFonts w:ascii="Arial" w:eastAsia="Calibri" w:hAnsi="Arial" w:cs="Arial"/>
                <w:lang w:val="en-GB"/>
              </w:rPr>
              <w:t>Pilot</w:t>
            </w:r>
          </w:p>
        </w:tc>
        <w:tc>
          <w:tcPr>
            <w:tcW w:w="1763" w:type="pct"/>
          </w:tcPr>
          <w:p w:rsidR="00CF1F8A" w:rsidRPr="00CF1F8A" w:rsidRDefault="00CF1F8A" w:rsidP="00CF1F8A">
            <w:pPr>
              <w:spacing w:line="280" w:lineRule="atLeast"/>
              <w:contextualSpacing/>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n-GB"/>
              </w:rPr>
            </w:pPr>
            <w:r w:rsidRPr="00CF1F8A">
              <w:rPr>
                <w:rFonts w:ascii="Arial" w:eastAsia="Calibri" w:hAnsi="Arial" w:cs="Arial"/>
                <w:lang w:val="en-GB"/>
              </w:rPr>
              <w:t>Resources</w:t>
            </w:r>
          </w:p>
        </w:tc>
        <w:tc>
          <w:tcPr>
            <w:tcW w:w="1184" w:type="pct"/>
          </w:tcPr>
          <w:p w:rsidR="00CF1F8A" w:rsidRPr="00CF1F8A" w:rsidRDefault="00CF1F8A" w:rsidP="00CF1F8A">
            <w:pPr>
              <w:spacing w:line="280" w:lineRule="atLeast"/>
              <w:contextualSpacing/>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n-GB"/>
              </w:rPr>
            </w:pPr>
            <w:r w:rsidRPr="00CF1F8A">
              <w:rPr>
                <w:rFonts w:ascii="Arial" w:eastAsia="Calibri" w:hAnsi="Arial" w:cs="Arial"/>
                <w:lang w:val="en-GB"/>
              </w:rPr>
              <w:t>Cost (per annum)</w:t>
            </w:r>
          </w:p>
        </w:tc>
      </w:tr>
      <w:tr w:rsidR="00CF1F8A" w:rsidRPr="00CF1F8A" w:rsidTr="00314884">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2053" w:type="pct"/>
            <w:vMerge w:val="restart"/>
          </w:tcPr>
          <w:p w:rsidR="00CF1F8A" w:rsidRPr="00CF1F8A" w:rsidRDefault="00CF1F8A" w:rsidP="00CF1F8A">
            <w:pPr>
              <w:spacing w:line="280" w:lineRule="atLeast"/>
              <w:contextualSpacing/>
              <w:rPr>
                <w:rFonts w:ascii="Arial" w:eastAsia="Calibri" w:hAnsi="Arial" w:cs="Arial"/>
                <w:lang w:val="en-GB"/>
              </w:rPr>
            </w:pPr>
            <w:r w:rsidRPr="00CF1F8A">
              <w:rPr>
                <w:rFonts w:ascii="Arial" w:eastAsia="Calibri" w:hAnsi="Arial" w:cs="Arial"/>
                <w:lang w:val="en-GB"/>
              </w:rPr>
              <w:t>Preventing family violence and sexual assault: Program targeting young people (whole-of-school program)</w:t>
            </w:r>
          </w:p>
        </w:tc>
        <w:tc>
          <w:tcPr>
            <w:tcW w:w="1763" w:type="pct"/>
          </w:tcPr>
          <w:p w:rsidR="00CF1F8A" w:rsidRPr="00CF1F8A" w:rsidRDefault="00CF1F8A" w:rsidP="00CF1F8A">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sidRPr="00CF1F8A">
              <w:rPr>
                <w:rFonts w:ascii="Arial" w:eastAsia="Calibri" w:hAnsi="Arial" w:cs="Arial"/>
                <w:lang w:val="en-GB"/>
              </w:rPr>
              <w:t xml:space="preserve">Project worker </w:t>
            </w:r>
          </w:p>
          <w:p w:rsidR="00CF1F8A" w:rsidRPr="00CF1F8A" w:rsidRDefault="00CF1F8A" w:rsidP="00CF1F8A">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sidRPr="00CF1F8A">
              <w:rPr>
                <w:rFonts w:ascii="Arial" w:eastAsia="Calibri" w:hAnsi="Arial" w:cs="Arial"/>
                <w:lang w:val="en-GB"/>
              </w:rPr>
              <w:t>Project materials and resources</w:t>
            </w:r>
          </w:p>
        </w:tc>
        <w:tc>
          <w:tcPr>
            <w:tcW w:w="1184" w:type="pct"/>
          </w:tcPr>
          <w:p w:rsidR="00CF1F8A" w:rsidRPr="00CF1F8A" w:rsidRDefault="00CF1F8A" w:rsidP="00CF1F8A">
            <w:pPr>
              <w:spacing w:line="280" w:lineRule="atLeast"/>
              <w:contextualSpacing/>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sidRPr="00CF1F8A">
              <w:rPr>
                <w:rFonts w:ascii="Arial" w:eastAsia="Calibri" w:hAnsi="Arial" w:cs="Arial"/>
                <w:lang w:val="en-GB"/>
              </w:rPr>
              <w:t>$100,000</w:t>
            </w:r>
          </w:p>
        </w:tc>
      </w:tr>
      <w:tr w:rsidR="00CF1F8A" w:rsidRPr="00CF1F8A" w:rsidTr="00314884">
        <w:trPr>
          <w:cnfStyle w:val="000000010000" w:firstRow="0" w:lastRow="0" w:firstColumn="0" w:lastColumn="0" w:oddVBand="0" w:evenVBand="0" w:oddHBand="0" w:evenHBand="1"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2053" w:type="pct"/>
            <w:vMerge/>
          </w:tcPr>
          <w:p w:rsidR="00CF1F8A" w:rsidRPr="00CF1F8A" w:rsidRDefault="00CF1F8A" w:rsidP="00CF1F8A">
            <w:pPr>
              <w:spacing w:line="280" w:lineRule="atLeast"/>
              <w:contextualSpacing/>
              <w:rPr>
                <w:rFonts w:ascii="Arial" w:eastAsia="Calibri" w:hAnsi="Arial" w:cs="Arial"/>
                <w:lang w:val="en-GB"/>
              </w:rPr>
            </w:pPr>
          </w:p>
        </w:tc>
        <w:tc>
          <w:tcPr>
            <w:tcW w:w="1763" w:type="pct"/>
          </w:tcPr>
          <w:p w:rsidR="00CF1F8A" w:rsidRPr="00CF1F8A" w:rsidRDefault="00CF1F8A" w:rsidP="00CF1F8A">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Arial" w:eastAsia="Calibri" w:hAnsi="Arial" w:cs="Arial"/>
                <w:lang w:val="en-GB"/>
              </w:rPr>
            </w:pPr>
            <w:r w:rsidRPr="00CF1F8A">
              <w:rPr>
                <w:rFonts w:ascii="Arial" w:eastAsia="Calibri" w:hAnsi="Arial" w:cs="Arial"/>
                <w:lang w:val="en-GB"/>
              </w:rPr>
              <w:t>School expenses</w:t>
            </w:r>
          </w:p>
        </w:tc>
        <w:tc>
          <w:tcPr>
            <w:tcW w:w="1184" w:type="pct"/>
          </w:tcPr>
          <w:p w:rsidR="00CF1F8A" w:rsidRPr="00CF1F8A" w:rsidRDefault="00CF1F8A" w:rsidP="00CF1F8A">
            <w:pPr>
              <w:spacing w:line="280" w:lineRule="atLeast"/>
              <w:contextualSpacing/>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lang w:val="en-GB"/>
              </w:rPr>
            </w:pPr>
            <w:r w:rsidRPr="00CF1F8A">
              <w:rPr>
                <w:rFonts w:ascii="Arial" w:eastAsia="Calibri" w:hAnsi="Arial" w:cs="Arial"/>
                <w:lang w:val="en-GB"/>
              </w:rPr>
              <w:t>$30,000</w:t>
            </w:r>
          </w:p>
        </w:tc>
      </w:tr>
      <w:tr w:rsidR="00CF1F8A" w:rsidRPr="00CF1F8A" w:rsidTr="00314884">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2053" w:type="pct"/>
            <w:vMerge/>
          </w:tcPr>
          <w:p w:rsidR="00CF1F8A" w:rsidRPr="00CF1F8A" w:rsidRDefault="00CF1F8A" w:rsidP="00CF1F8A">
            <w:pPr>
              <w:spacing w:line="280" w:lineRule="atLeast"/>
              <w:contextualSpacing/>
              <w:rPr>
                <w:rFonts w:ascii="Arial" w:eastAsia="Calibri" w:hAnsi="Arial" w:cs="Arial"/>
                <w:lang w:val="en-GB"/>
              </w:rPr>
            </w:pPr>
          </w:p>
        </w:tc>
        <w:tc>
          <w:tcPr>
            <w:tcW w:w="1763" w:type="pct"/>
          </w:tcPr>
          <w:p w:rsidR="00CF1F8A" w:rsidRPr="00CF1F8A" w:rsidRDefault="00CF1F8A" w:rsidP="00CF1F8A">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sidRPr="00CF1F8A">
              <w:rPr>
                <w:rFonts w:ascii="Arial" w:eastAsia="Calibri" w:hAnsi="Arial" w:cs="Arial"/>
                <w:lang w:val="en-GB"/>
              </w:rPr>
              <w:t>Evaluation</w:t>
            </w:r>
          </w:p>
        </w:tc>
        <w:tc>
          <w:tcPr>
            <w:tcW w:w="1184" w:type="pct"/>
          </w:tcPr>
          <w:p w:rsidR="00CF1F8A" w:rsidRPr="00CF1F8A" w:rsidRDefault="00CF1F8A" w:rsidP="00CF1F8A">
            <w:pPr>
              <w:spacing w:line="280" w:lineRule="atLeast"/>
              <w:contextualSpacing/>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GB"/>
              </w:rPr>
            </w:pPr>
            <w:r w:rsidRPr="00CF1F8A">
              <w:rPr>
                <w:rFonts w:ascii="Arial" w:eastAsia="Calibri" w:hAnsi="Arial" w:cs="Arial"/>
                <w:lang w:val="en-GB"/>
              </w:rPr>
              <w:t>$15,000</w:t>
            </w:r>
          </w:p>
        </w:tc>
      </w:tr>
      <w:tr w:rsidR="00CF1F8A" w:rsidRPr="00CF1F8A" w:rsidTr="00314884">
        <w:trPr>
          <w:cnfStyle w:val="000000010000" w:firstRow="0" w:lastRow="0" w:firstColumn="0" w:lastColumn="0" w:oddVBand="0" w:evenVBand="0" w:oddHBand="0" w:evenHBand="1"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3816" w:type="pct"/>
            <w:gridSpan w:val="2"/>
          </w:tcPr>
          <w:p w:rsidR="00CF1F8A" w:rsidRPr="00CF1F8A" w:rsidRDefault="00CF1F8A" w:rsidP="00CF1F8A">
            <w:pPr>
              <w:spacing w:line="280" w:lineRule="atLeast"/>
              <w:contextualSpacing/>
              <w:jc w:val="both"/>
              <w:rPr>
                <w:rFonts w:ascii="Arial" w:eastAsia="Calibri" w:hAnsi="Arial" w:cs="Arial"/>
                <w:lang w:val="en-GB"/>
              </w:rPr>
            </w:pPr>
            <w:r w:rsidRPr="00CF1F8A">
              <w:rPr>
                <w:rFonts w:ascii="Arial" w:eastAsia="Calibri" w:hAnsi="Arial" w:cs="Arial"/>
                <w:lang w:val="en-GB"/>
              </w:rPr>
              <w:t>TOTAL (per annum)</w:t>
            </w:r>
          </w:p>
        </w:tc>
        <w:tc>
          <w:tcPr>
            <w:tcW w:w="1184" w:type="pct"/>
          </w:tcPr>
          <w:p w:rsidR="00CF1F8A" w:rsidRPr="00CF1F8A" w:rsidRDefault="00CF1F8A" w:rsidP="00CF1F8A">
            <w:pPr>
              <w:spacing w:line="280" w:lineRule="atLeast"/>
              <w:contextualSpacing/>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lang w:val="en-GB"/>
              </w:rPr>
            </w:pPr>
            <w:r w:rsidRPr="00CF1F8A">
              <w:rPr>
                <w:rFonts w:ascii="Arial" w:eastAsia="Calibri" w:hAnsi="Arial" w:cs="Arial"/>
                <w:b/>
                <w:lang w:val="en-GB"/>
              </w:rPr>
              <w:t>$145,000</w:t>
            </w:r>
          </w:p>
        </w:tc>
      </w:tr>
    </w:tbl>
    <w:p w:rsidR="00CF1F8A" w:rsidRP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Pr="00CF1F8A" w:rsidRDefault="00CF1F8A" w:rsidP="00CF1F8A">
      <w:pPr>
        <w:spacing w:line="280" w:lineRule="atLeast"/>
        <w:contextualSpacing/>
        <w:jc w:val="both"/>
        <w:rPr>
          <w:rFonts w:ascii="Arial" w:eastAsia="Times New Roman" w:hAnsi="Arial" w:cs="Arial"/>
          <w:b/>
          <w:color w:val="0070C0"/>
          <w:sz w:val="22"/>
          <w:szCs w:val="22"/>
          <w:lang w:val="en-GB" w:eastAsia="en-AU"/>
        </w:rPr>
      </w:pPr>
      <w:r w:rsidRPr="00CF1F8A">
        <w:rPr>
          <w:rFonts w:ascii="Arial" w:eastAsia="Times New Roman" w:hAnsi="Arial" w:cs="Arial"/>
          <w:b/>
          <w:color w:val="0070C0"/>
          <w:sz w:val="22"/>
          <w:szCs w:val="22"/>
          <w:lang w:val="en-GB" w:eastAsia="en-AU"/>
        </w:rPr>
        <w:t>How will the community benefit?</w:t>
      </w:r>
    </w:p>
    <w:p w:rsidR="00CF1F8A" w:rsidRPr="00CF1F8A" w:rsidRDefault="00CF1F8A" w:rsidP="00CF1F8A">
      <w:pPr>
        <w:spacing w:line="280" w:lineRule="atLeast"/>
        <w:contextualSpacing/>
        <w:jc w:val="both"/>
        <w:rPr>
          <w:rFonts w:ascii="Arial" w:eastAsia="Calibri" w:hAnsi="Arial" w:cs="Arial"/>
          <w:sz w:val="22"/>
          <w:szCs w:val="22"/>
          <w:lang w:val="en-AU"/>
        </w:rPr>
      </w:pPr>
    </w:p>
    <w:p w:rsidR="00CF1F8A" w:rsidRPr="00CF1F8A" w:rsidRDefault="00CF1F8A" w:rsidP="00CF1F8A">
      <w:pPr>
        <w:spacing w:line="280" w:lineRule="atLeast"/>
        <w:contextualSpacing/>
        <w:jc w:val="both"/>
        <w:rPr>
          <w:rFonts w:ascii="Arial" w:eastAsia="Calibri" w:hAnsi="Arial" w:cs="Arial"/>
          <w:sz w:val="22"/>
          <w:szCs w:val="22"/>
          <w:lang w:val="en-AU"/>
        </w:rPr>
      </w:pPr>
      <w:r w:rsidRPr="00CF1F8A">
        <w:rPr>
          <w:rFonts w:ascii="Arial" w:eastAsia="Calibri" w:hAnsi="Arial" w:cs="Arial"/>
          <w:sz w:val="22"/>
          <w:szCs w:val="22"/>
          <w:lang w:val="en-AU"/>
        </w:rPr>
        <w:t xml:space="preserve">Children and young people spend much of their time at school. They are a captive audience for teachers and professionals to deliver programs to improve understanding of gender equity, sexual assault and family violence. </w:t>
      </w:r>
    </w:p>
    <w:p w:rsidR="00CF1F8A" w:rsidRPr="00CF1F8A" w:rsidRDefault="00CF1F8A" w:rsidP="00CF1F8A">
      <w:pPr>
        <w:spacing w:line="280" w:lineRule="atLeast"/>
        <w:contextualSpacing/>
        <w:jc w:val="both"/>
        <w:rPr>
          <w:rFonts w:ascii="Arial" w:eastAsia="Calibri" w:hAnsi="Arial" w:cs="Arial"/>
          <w:sz w:val="22"/>
          <w:szCs w:val="22"/>
          <w:lang w:val="en-AU"/>
        </w:rPr>
      </w:pPr>
    </w:p>
    <w:p w:rsidR="00CF1F8A" w:rsidRPr="00CF1F8A" w:rsidRDefault="00CF1F8A" w:rsidP="00CF1F8A">
      <w:pPr>
        <w:spacing w:line="280" w:lineRule="atLeast"/>
        <w:contextualSpacing/>
        <w:jc w:val="both"/>
        <w:rPr>
          <w:rFonts w:ascii="Arial" w:eastAsia="Calibri" w:hAnsi="Arial" w:cs="Arial"/>
          <w:sz w:val="22"/>
          <w:szCs w:val="22"/>
          <w:lang w:val="en-AU"/>
        </w:rPr>
      </w:pPr>
      <w:r w:rsidRPr="00CF1F8A">
        <w:rPr>
          <w:rFonts w:ascii="Arial" w:eastAsia="Calibri" w:hAnsi="Arial" w:cs="Arial"/>
          <w:sz w:val="22"/>
          <w:szCs w:val="22"/>
          <w:lang w:val="en-AU"/>
        </w:rPr>
        <w:t>By intervening early in life in a universal setting, violence-supportive attitudes and gender stereotypes are challenged and de-normalised.  Schools become environments that value and support non-violent norms by building and modelling respectful and equitable gender relations. The entire school community is supported to develop greater connection to formal and informal support and is encouraged to take action to address violence. In the long-term the community benefits from improved safety and reduced rates of family violence and sexual assault that comes from valuing gender equity and respectful relationships.</w:t>
      </w:r>
    </w:p>
    <w:p w:rsidR="00CF1F8A" w:rsidRPr="00CF1F8A" w:rsidRDefault="00CF1F8A" w:rsidP="00CF1F8A">
      <w:pPr>
        <w:spacing w:line="280" w:lineRule="atLeast"/>
        <w:contextualSpacing/>
        <w:jc w:val="both"/>
        <w:rPr>
          <w:rFonts w:ascii="Arial" w:eastAsia="Calibri" w:hAnsi="Arial" w:cs="Arial"/>
          <w:sz w:val="22"/>
          <w:szCs w:val="22"/>
          <w:lang w:val="en-AU"/>
        </w:rPr>
      </w:pPr>
    </w:p>
    <w:p w:rsidR="00CF1F8A" w:rsidRPr="00CF1F8A" w:rsidRDefault="00CF1F8A" w:rsidP="00CF1F8A">
      <w:pPr>
        <w:spacing w:line="280" w:lineRule="atLeast"/>
        <w:contextualSpacing/>
        <w:jc w:val="both"/>
        <w:rPr>
          <w:rFonts w:ascii="Arial" w:eastAsia="Calibri" w:hAnsi="Arial" w:cs="Arial"/>
          <w:sz w:val="22"/>
          <w:szCs w:val="22"/>
          <w:lang w:val="en-AU"/>
        </w:rPr>
      </w:pPr>
      <w:r w:rsidRPr="00CF1F8A">
        <w:rPr>
          <w:rFonts w:ascii="Arial" w:eastAsia="Calibri" w:hAnsi="Arial" w:cs="Arial"/>
          <w:sz w:val="22"/>
          <w:szCs w:val="22"/>
          <w:lang w:val="en-AU"/>
        </w:rPr>
        <w:t>The prevention of family violence has enormous economic benefits:</w:t>
      </w:r>
    </w:p>
    <w:p w:rsidR="00CF1F8A" w:rsidRPr="00CF1F8A" w:rsidRDefault="00CF1F8A" w:rsidP="00CF1F8A">
      <w:pPr>
        <w:spacing w:line="280" w:lineRule="atLeast"/>
        <w:contextualSpacing/>
        <w:jc w:val="both"/>
        <w:rPr>
          <w:rFonts w:ascii="Arial" w:eastAsia="Calibri" w:hAnsi="Arial" w:cs="Arial"/>
          <w:sz w:val="22"/>
          <w:szCs w:val="22"/>
          <w:lang w:val="en-AU"/>
        </w:rPr>
      </w:pPr>
    </w:p>
    <w:p w:rsidR="00CF1F8A" w:rsidRPr="00CF1F8A" w:rsidRDefault="00CF1F8A" w:rsidP="00CF1F8A">
      <w:pPr>
        <w:numPr>
          <w:ilvl w:val="0"/>
          <w:numId w:val="13"/>
        </w:numPr>
        <w:spacing w:line="280" w:lineRule="atLeast"/>
        <w:contextualSpacing/>
        <w:jc w:val="both"/>
        <w:rPr>
          <w:rFonts w:ascii="Arial" w:eastAsia="Calibri" w:hAnsi="Arial" w:cs="Arial"/>
          <w:sz w:val="22"/>
          <w:szCs w:val="22"/>
          <w:lang w:val="en-AU"/>
        </w:rPr>
      </w:pPr>
      <w:r w:rsidRPr="00CF1F8A">
        <w:rPr>
          <w:rFonts w:ascii="Arial" w:eastAsia="Calibri" w:hAnsi="Arial" w:cs="Arial"/>
          <w:sz w:val="22"/>
          <w:szCs w:val="22"/>
          <w:lang w:val="en-AU"/>
        </w:rPr>
        <w:t>The National Council to Reduce Violence against Women and their Children (2009, p.4) state that reducing all forms of violence against women by 10% by 2012-22 could amount to $1.6 billion in savings</w:t>
      </w:r>
      <w:r w:rsidRPr="00CF1F8A">
        <w:rPr>
          <w:rFonts w:ascii="Arial" w:eastAsia="Calibri" w:hAnsi="Arial" w:cs="Arial"/>
          <w:sz w:val="22"/>
          <w:szCs w:val="22"/>
          <w:vertAlign w:val="superscript"/>
          <w:lang w:val="en-AU"/>
        </w:rPr>
        <w:endnoteReference w:id="6"/>
      </w:r>
      <w:r w:rsidRPr="00CF1F8A">
        <w:rPr>
          <w:rFonts w:ascii="Arial" w:eastAsia="Calibri" w:hAnsi="Arial" w:cs="Arial"/>
          <w:sz w:val="22"/>
          <w:szCs w:val="22"/>
          <w:lang w:val="en-AU"/>
        </w:rPr>
        <w:t>.</w:t>
      </w:r>
    </w:p>
    <w:p w:rsidR="00CF1F8A" w:rsidRPr="00CF1F8A" w:rsidRDefault="00CF1F8A" w:rsidP="00CF1F8A">
      <w:pPr>
        <w:spacing w:line="280" w:lineRule="atLeast"/>
        <w:ind w:left="720"/>
        <w:contextualSpacing/>
        <w:jc w:val="both"/>
        <w:rPr>
          <w:rFonts w:ascii="Arial" w:eastAsia="Calibri" w:hAnsi="Arial" w:cs="Arial"/>
          <w:sz w:val="22"/>
          <w:szCs w:val="22"/>
          <w:lang w:val="en-AU"/>
        </w:rPr>
      </w:pPr>
    </w:p>
    <w:p w:rsidR="00CF1F8A" w:rsidRPr="00CF1F8A" w:rsidRDefault="00CF1F8A" w:rsidP="00CF1F8A">
      <w:pPr>
        <w:numPr>
          <w:ilvl w:val="0"/>
          <w:numId w:val="13"/>
        </w:numPr>
        <w:spacing w:line="280" w:lineRule="atLeast"/>
        <w:contextualSpacing/>
        <w:jc w:val="both"/>
        <w:rPr>
          <w:rFonts w:ascii="Arial" w:eastAsia="Calibri" w:hAnsi="Arial" w:cs="Arial"/>
          <w:sz w:val="22"/>
          <w:szCs w:val="22"/>
          <w:lang w:val="en-AU"/>
        </w:rPr>
      </w:pPr>
      <w:proofErr w:type="spellStart"/>
      <w:r w:rsidRPr="00CF1F8A">
        <w:rPr>
          <w:rFonts w:ascii="Arial" w:eastAsia="Calibri" w:hAnsi="Arial" w:cs="Arial"/>
          <w:sz w:val="22"/>
          <w:szCs w:val="22"/>
          <w:lang w:val="en-AU"/>
        </w:rPr>
        <w:t>VicHealth</w:t>
      </w:r>
      <w:proofErr w:type="spellEnd"/>
      <w:r w:rsidRPr="00CF1F8A">
        <w:rPr>
          <w:rFonts w:ascii="Arial" w:eastAsia="Calibri" w:hAnsi="Arial" w:cs="Arial"/>
          <w:sz w:val="22"/>
          <w:szCs w:val="22"/>
          <w:lang w:val="en-AU"/>
        </w:rPr>
        <w:t xml:space="preserve"> (2009, p.64) state that eliminating intimate partner violence would save the health sector $207 million per year and save $1.8 billion in production and leisure costs annually</w:t>
      </w:r>
      <w:r w:rsidRPr="00CF1F8A">
        <w:rPr>
          <w:rFonts w:ascii="Arial" w:eastAsia="Calibri" w:hAnsi="Arial" w:cs="Arial"/>
          <w:sz w:val="22"/>
          <w:szCs w:val="22"/>
          <w:vertAlign w:val="superscript"/>
          <w:lang w:val="en-AU"/>
        </w:rPr>
        <w:endnoteReference w:id="7"/>
      </w:r>
      <w:r w:rsidRPr="00CF1F8A">
        <w:rPr>
          <w:rFonts w:ascii="Arial" w:eastAsia="Calibri" w:hAnsi="Arial" w:cs="Arial"/>
          <w:sz w:val="22"/>
          <w:szCs w:val="22"/>
          <w:lang w:val="en-AU"/>
        </w:rPr>
        <w:t>.</w:t>
      </w:r>
    </w:p>
    <w:p w:rsidR="00CF1F8A" w:rsidRP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Pr="00CF1F8A" w:rsidRDefault="00CF1F8A" w:rsidP="00CF1F8A">
      <w:pPr>
        <w:spacing w:line="280" w:lineRule="atLeast"/>
        <w:contextualSpacing/>
        <w:jc w:val="both"/>
        <w:rPr>
          <w:rFonts w:ascii="Arial" w:eastAsia="Times New Roman" w:hAnsi="Arial" w:cs="Arial"/>
          <w:b/>
          <w:color w:val="0070C0"/>
          <w:sz w:val="22"/>
          <w:szCs w:val="22"/>
          <w:lang w:val="en-GB" w:eastAsia="en-AU"/>
        </w:rPr>
      </w:pPr>
      <w:r w:rsidRPr="00CF1F8A">
        <w:rPr>
          <w:rFonts w:ascii="Arial" w:eastAsia="Times New Roman" w:hAnsi="Arial" w:cs="Arial"/>
          <w:b/>
          <w:color w:val="0070C0"/>
          <w:sz w:val="22"/>
          <w:szCs w:val="22"/>
          <w:lang w:val="en-GB" w:eastAsia="en-AU"/>
        </w:rPr>
        <w:t>What objectives does this help us to achieve?</w:t>
      </w:r>
    </w:p>
    <w:p w:rsidR="00CF1F8A" w:rsidRPr="00CF1F8A" w:rsidRDefault="00CF1F8A" w:rsidP="00CF1F8A">
      <w:pPr>
        <w:spacing w:line="280" w:lineRule="atLeast"/>
        <w:contextualSpacing/>
        <w:jc w:val="both"/>
        <w:rPr>
          <w:rFonts w:ascii="Arial" w:eastAsia="Calibri" w:hAnsi="Arial" w:cs="Arial"/>
          <w:b/>
          <w:sz w:val="22"/>
          <w:szCs w:val="22"/>
          <w:lang w:val="en-AU"/>
        </w:rPr>
      </w:pPr>
    </w:p>
    <w:p w:rsidR="00CF1F8A" w:rsidRDefault="00CF1F8A" w:rsidP="00CF1F8A">
      <w:pPr>
        <w:spacing w:line="280" w:lineRule="atLeast"/>
        <w:contextualSpacing/>
        <w:jc w:val="both"/>
        <w:rPr>
          <w:rFonts w:ascii="Arial" w:eastAsia="Calibri" w:hAnsi="Arial" w:cs="Arial"/>
          <w:b/>
          <w:sz w:val="22"/>
          <w:szCs w:val="22"/>
          <w:lang w:val="en-AU"/>
        </w:rPr>
      </w:pPr>
      <w:r w:rsidRPr="00CF1F8A">
        <w:rPr>
          <w:rFonts w:ascii="Arial" w:eastAsia="Calibri" w:hAnsi="Arial" w:cs="Arial"/>
          <w:b/>
          <w:sz w:val="22"/>
          <w:szCs w:val="22"/>
          <w:lang w:val="en-AU"/>
        </w:rPr>
        <w:t>Federal Government</w:t>
      </w:r>
    </w:p>
    <w:p w:rsidR="00CF1F8A" w:rsidRPr="00CF1F8A" w:rsidRDefault="00CF1F8A" w:rsidP="00CF1F8A">
      <w:pPr>
        <w:spacing w:line="280" w:lineRule="atLeast"/>
        <w:contextualSpacing/>
        <w:jc w:val="both"/>
        <w:rPr>
          <w:rFonts w:ascii="Arial" w:eastAsia="Calibri" w:hAnsi="Arial" w:cs="Arial"/>
          <w:b/>
          <w:sz w:val="22"/>
          <w:szCs w:val="22"/>
          <w:lang w:val="en-AU"/>
        </w:rPr>
      </w:pPr>
    </w:p>
    <w:p w:rsidR="00CF1F8A" w:rsidRPr="00CF1F8A" w:rsidRDefault="00CF1F8A" w:rsidP="00CF1F8A">
      <w:pPr>
        <w:numPr>
          <w:ilvl w:val="0"/>
          <w:numId w:val="12"/>
        </w:numPr>
        <w:spacing w:line="280" w:lineRule="atLeast"/>
        <w:contextualSpacing/>
        <w:jc w:val="both"/>
        <w:rPr>
          <w:rFonts w:ascii="Arial" w:eastAsia="Calibri" w:hAnsi="Arial" w:cs="Arial"/>
          <w:sz w:val="22"/>
          <w:szCs w:val="22"/>
          <w:lang w:val="en-AU"/>
        </w:rPr>
      </w:pPr>
      <w:r w:rsidRPr="00CF1F8A">
        <w:rPr>
          <w:rFonts w:ascii="Arial" w:eastAsia="Calibri" w:hAnsi="Arial" w:cs="Arial"/>
          <w:sz w:val="22"/>
          <w:szCs w:val="22"/>
          <w:lang w:val="en-AU"/>
        </w:rPr>
        <w:t>National Plan to Reduce Violence against Women and Their Children 2010-2022</w:t>
      </w:r>
    </w:p>
    <w:p w:rsidR="00CF1F8A" w:rsidRPr="00CF1F8A" w:rsidRDefault="00CF1F8A" w:rsidP="00CF1F8A">
      <w:pPr>
        <w:numPr>
          <w:ilvl w:val="0"/>
          <w:numId w:val="12"/>
        </w:numPr>
        <w:spacing w:line="280" w:lineRule="atLeast"/>
        <w:contextualSpacing/>
        <w:jc w:val="both"/>
        <w:rPr>
          <w:rFonts w:ascii="Arial" w:eastAsia="Calibri" w:hAnsi="Arial" w:cs="Arial"/>
          <w:sz w:val="22"/>
          <w:szCs w:val="22"/>
          <w:lang w:val="en-AU"/>
        </w:rPr>
      </w:pPr>
      <w:r w:rsidRPr="00CF1F8A">
        <w:rPr>
          <w:rFonts w:ascii="Arial" w:eastAsia="Calibri" w:hAnsi="Arial" w:cs="Arial"/>
          <w:sz w:val="22"/>
          <w:szCs w:val="22"/>
          <w:lang w:val="en-AU"/>
        </w:rPr>
        <w:t>National Plan First Action Plan 2010-2013: Building A Strong Foundation</w:t>
      </w:r>
    </w:p>
    <w:p w:rsidR="00CF1F8A" w:rsidRDefault="00CF1F8A" w:rsidP="00CF1F8A">
      <w:pPr>
        <w:spacing w:line="280" w:lineRule="atLeast"/>
        <w:contextualSpacing/>
        <w:jc w:val="both"/>
        <w:rPr>
          <w:rFonts w:ascii="Arial" w:eastAsia="Calibri" w:hAnsi="Arial" w:cs="Arial"/>
          <w:b/>
          <w:sz w:val="22"/>
          <w:szCs w:val="22"/>
          <w:lang w:val="en-AU"/>
        </w:rPr>
      </w:pPr>
    </w:p>
    <w:p w:rsidR="00CF1F8A" w:rsidRDefault="00CF1F8A" w:rsidP="00CF1F8A">
      <w:pPr>
        <w:spacing w:line="280" w:lineRule="atLeast"/>
        <w:contextualSpacing/>
        <w:jc w:val="both"/>
        <w:rPr>
          <w:rFonts w:ascii="Arial" w:eastAsia="Calibri" w:hAnsi="Arial" w:cs="Arial"/>
          <w:b/>
          <w:sz w:val="22"/>
          <w:szCs w:val="22"/>
          <w:lang w:val="en-AU"/>
        </w:rPr>
      </w:pPr>
      <w:r w:rsidRPr="00CF1F8A">
        <w:rPr>
          <w:rFonts w:ascii="Arial" w:eastAsia="Calibri" w:hAnsi="Arial" w:cs="Arial"/>
          <w:b/>
          <w:sz w:val="22"/>
          <w:szCs w:val="22"/>
          <w:lang w:val="en-AU"/>
        </w:rPr>
        <w:t>Victorian Government</w:t>
      </w:r>
    </w:p>
    <w:p w:rsidR="00CF1F8A" w:rsidRPr="00CF1F8A" w:rsidRDefault="00CF1F8A" w:rsidP="00CF1F8A">
      <w:pPr>
        <w:spacing w:line="280" w:lineRule="atLeast"/>
        <w:contextualSpacing/>
        <w:jc w:val="both"/>
        <w:rPr>
          <w:rFonts w:ascii="Arial" w:eastAsia="Calibri" w:hAnsi="Arial" w:cs="Arial"/>
          <w:b/>
          <w:sz w:val="22"/>
          <w:szCs w:val="22"/>
          <w:lang w:val="en-AU"/>
        </w:rPr>
      </w:pPr>
    </w:p>
    <w:p w:rsidR="00CF1F8A" w:rsidRDefault="00CF1F8A" w:rsidP="00CF1F8A">
      <w:pPr>
        <w:numPr>
          <w:ilvl w:val="0"/>
          <w:numId w:val="11"/>
        </w:numPr>
        <w:spacing w:line="280" w:lineRule="atLeast"/>
        <w:contextualSpacing/>
        <w:jc w:val="both"/>
        <w:rPr>
          <w:rFonts w:ascii="Arial" w:eastAsia="Calibri" w:hAnsi="Arial" w:cs="Arial"/>
          <w:sz w:val="22"/>
          <w:szCs w:val="22"/>
          <w:lang w:val="en-AU"/>
        </w:rPr>
      </w:pPr>
      <w:r w:rsidRPr="00CF1F8A">
        <w:rPr>
          <w:rFonts w:ascii="Arial" w:eastAsia="Calibri" w:hAnsi="Arial" w:cs="Arial"/>
          <w:sz w:val="22"/>
          <w:szCs w:val="22"/>
          <w:lang w:val="en-AU"/>
        </w:rPr>
        <w:t>Everyone Has A Responsibility To Act – Victoria’s Action Plan to Address Violence Against Women and Children 2012-2015</w:t>
      </w:r>
    </w:p>
    <w:p w:rsidR="00CF1F8A" w:rsidRDefault="00CF1F8A" w:rsidP="00CF1F8A">
      <w:pPr>
        <w:spacing w:line="280" w:lineRule="atLeast"/>
        <w:contextualSpacing/>
        <w:jc w:val="both"/>
        <w:rPr>
          <w:rFonts w:ascii="Arial" w:eastAsia="Calibri" w:hAnsi="Arial" w:cs="Arial"/>
          <w:sz w:val="22"/>
          <w:szCs w:val="22"/>
          <w:lang w:val="en-AU"/>
        </w:rPr>
      </w:pPr>
    </w:p>
    <w:p w:rsidR="00CF1F8A" w:rsidRDefault="00CF1F8A" w:rsidP="00CF1F8A">
      <w:pPr>
        <w:spacing w:line="280" w:lineRule="atLeast"/>
        <w:contextualSpacing/>
        <w:jc w:val="both"/>
        <w:rPr>
          <w:rFonts w:ascii="Arial" w:eastAsia="Calibri" w:hAnsi="Arial" w:cs="Arial"/>
          <w:sz w:val="22"/>
          <w:szCs w:val="22"/>
          <w:lang w:val="en-AU"/>
        </w:rPr>
      </w:pPr>
    </w:p>
    <w:p w:rsidR="00CF1F8A" w:rsidRDefault="00CF1F8A" w:rsidP="00CF1F8A">
      <w:pPr>
        <w:spacing w:line="280" w:lineRule="atLeast"/>
        <w:contextualSpacing/>
        <w:jc w:val="both"/>
        <w:rPr>
          <w:rFonts w:ascii="Arial" w:eastAsia="Calibri" w:hAnsi="Arial" w:cs="Arial"/>
          <w:sz w:val="22"/>
          <w:szCs w:val="22"/>
          <w:lang w:val="en-AU"/>
        </w:rPr>
      </w:pPr>
    </w:p>
    <w:p w:rsidR="00CF1F8A" w:rsidRDefault="00CF1F8A" w:rsidP="00CF1F8A">
      <w:pPr>
        <w:spacing w:line="280" w:lineRule="atLeast"/>
        <w:contextualSpacing/>
        <w:jc w:val="both"/>
        <w:rPr>
          <w:rFonts w:ascii="Arial" w:eastAsia="Calibri" w:hAnsi="Arial" w:cs="Arial"/>
          <w:sz w:val="22"/>
          <w:szCs w:val="22"/>
          <w:lang w:val="en-AU"/>
        </w:rPr>
      </w:pPr>
    </w:p>
    <w:p w:rsidR="00CF1F8A" w:rsidRDefault="00CF1F8A" w:rsidP="00CF1F8A">
      <w:pPr>
        <w:spacing w:line="280" w:lineRule="atLeast"/>
        <w:contextualSpacing/>
        <w:jc w:val="both"/>
        <w:rPr>
          <w:rFonts w:ascii="Arial" w:eastAsia="Calibri" w:hAnsi="Arial" w:cs="Arial"/>
          <w:sz w:val="22"/>
          <w:szCs w:val="22"/>
          <w:lang w:val="en-AU"/>
        </w:rPr>
      </w:pPr>
    </w:p>
    <w:p w:rsidR="00CF1F8A" w:rsidRPr="00CF1F8A" w:rsidRDefault="00CF1F8A" w:rsidP="00CF1F8A">
      <w:pPr>
        <w:spacing w:line="280" w:lineRule="atLeast"/>
        <w:contextualSpacing/>
        <w:jc w:val="both"/>
        <w:rPr>
          <w:rFonts w:ascii="Arial" w:eastAsia="Calibri" w:hAnsi="Arial" w:cs="Arial"/>
          <w:sz w:val="22"/>
          <w:szCs w:val="22"/>
          <w:lang w:val="en-AU"/>
        </w:rPr>
      </w:pPr>
    </w:p>
    <w:p w:rsidR="00CF1F8A" w:rsidRPr="00CF1F8A" w:rsidRDefault="00CF1F8A" w:rsidP="00CF1F8A">
      <w:pPr>
        <w:numPr>
          <w:ilvl w:val="0"/>
          <w:numId w:val="11"/>
        </w:numPr>
        <w:spacing w:line="280" w:lineRule="atLeast"/>
        <w:contextualSpacing/>
        <w:jc w:val="both"/>
        <w:rPr>
          <w:rFonts w:ascii="Arial" w:eastAsia="Calibri" w:hAnsi="Arial" w:cs="Arial"/>
          <w:sz w:val="22"/>
          <w:szCs w:val="22"/>
          <w:lang w:val="en-AU"/>
        </w:rPr>
      </w:pPr>
      <w:proofErr w:type="spellStart"/>
      <w:r w:rsidRPr="00CF1F8A">
        <w:rPr>
          <w:rFonts w:ascii="Arial" w:eastAsia="Calibri" w:hAnsi="Arial" w:cs="Arial"/>
          <w:sz w:val="22"/>
          <w:szCs w:val="22"/>
          <w:lang w:val="en-AU"/>
        </w:rPr>
        <w:t>VicHealth</w:t>
      </w:r>
      <w:proofErr w:type="spellEnd"/>
      <w:r w:rsidRPr="00CF1F8A">
        <w:rPr>
          <w:rFonts w:ascii="Arial" w:eastAsia="Calibri" w:hAnsi="Arial" w:cs="Arial"/>
          <w:sz w:val="22"/>
          <w:szCs w:val="22"/>
          <w:lang w:val="en-AU"/>
        </w:rPr>
        <w:t xml:space="preserve"> Framework for the Prevention of Violence Against Women</w:t>
      </w:r>
    </w:p>
    <w:p w:rsidR="00CF1F8A" w:rsidRPr="00CF1F8A" w:rsidRDefault="00CF1F8A" w:rsidP="00CF1F8A">
      <w:pPr>
        <w:numPr>
          <w:ilvl w:val="0"/>
          <w:numId w:val="11"/>
        </w:numPr>
        <w:spacing w:line="280" w:lineRule="atLeast"/>
        <w:contextualSpacing/>
        <w:jc w:val="both"/>
        <w:rPr>
          <w:rFonts w:ascii="Arial" w:eastAsia="Calibri" w:hAnsi="Arial" w:cs="Arial"/>
          <w:sz w:val="22"/>
          <w:szCs w:val="22"/>
          <w:lang w:val="en-AU"/>
        </w:rPr>
      </w:pPr>
      <w:r w:rsidRPr="00CF1F8A">
        <w:rPr>
          <w:rFonts w:ascii="Arial" w:eastAsia="Calibri" w:hAnsi="Arial" w:cs="Arial"/>
          <w:sz w:val="22"/>
          <w:szCs w:val="22"/>
          <w:lang w:val="en-AU"/>
        </w:rPr>
        <w:t>Foundation to Prevent Violence Against Women and their Children</w:t>
      </w:r>
    </w:p>
    <w:p w:rsidR="00CF1F8A" w:rsidRPr="00CF1F8A" w:rsidRDefault="00CF1F8A" w:rsidP="00CF1F8A">
      <w:pPr>
        <w:spacing w:line="280" w:lineRule="atLeast"/>
        <w:contextualSpacing/>
        <w:jc w:val="both"/>
        <w:rPr>
          <w:rFonts w:ascii="Arial" w:eastAsia="Calibri" w:hAnsi="Arial" w:cs="Arial"/>
          <w:b/>
          <w:sz w:val="22"/>
          <w:szCs w:val="22"/>
          <w:lang w:val="en-AU"/>
        </w:rPr>
      </w:pPr>
    </w:p>
    <w:p w:rsidR="00CF1F8A" w:rsidRDefault="00CF1F8A" w:rsidP="00CF1F8A">
      <w:pPr>
        <w:spacing w:line="280" w:lineRule="atLeast"/>
        <w:contextualSpacing/>
        <w:jc w:val="both"/>
        <w:rPr>
          <w:rFonts w:ascii="Arial" w:eastAsia="Calibri" w:hAnsi="Arial" w:cs="Arial"/>
          <w:b/>
          <w:sz w:val="22"/>
          <w:szCs w:val="22"/>
          <w:lang w:val="en-AU"/>
        </w:rPr>
      </w:pPr>
      <w:r w:rsidRPr="00CF1F8A">
        <w:rPr>
          <w:rFonts w:ascii="Arial" w:eastAsia="Calibri" w:hAnsi="Arial" w:cs="Arial"/>
          <w:b/>
          <w:sz w:val="22"/>
          <w:szCs w:val="22"/>
          <w:lang w:val="en-AU"/>
        </w:rPr>
        <w:t>City of Whittlesea</w:t>
      </w:r>
    </w:p>
    <w:p w:rsidR="00CF1F8A" w:rsidRPr="00CF1F8A" w:rsidRDefault="00CF1F8A" w:rsidP="00CF1F8A">
      <w:pPr>
        <w:spacing w:line="280" w:lineRule="atLeast"/>
        <w:contextualSpacing/>
        <w:jc w:val="both"/>
        <w:rPr>
          <w:rFonts w:ascii="Arial" w:eastAsia="Calibri" w:hAnsi="Arial" w:cs="Arial"/>
          <w:b/>
          <w:sz w:val="22"/>
          <w:szCs w:val="22"/>
          <w:lang w:val="en-AU"/>
        </w:rPr>
      </w:pPr>
    </w:p>
    <w:p w:rsidR="00CF1F8A" w:rsidRPr="00CF1F8A" w:rsidRDefault="00CF1F8A" w:rsidP="00CF1F8A">
      <w:pPr>
        <w:numPr>
          <w:ilvl w:val="0"/>
          <w:numId w:val="10"/>
        </w:numPr>
        <w:spacing w:line="280" w:lineRule="atLeast"/>
        <w:contextualSpacing/>
        <w:jc w:val="both"/>
        <w:rPr>
          <w:rFonts w:ascii="Arial" w:eastAsia="Calibri" w:hAnsi="Arial" w:cs="Arial"/>
          <w:sz w:val="22"/>
          <w:szCs w:val="22"/>
          <w:lang w:val="en-AU"/>
        </w:rPr>
      </w:pPr>
      <w:r w:rsidRPr="00CF1F8A">
        <w:rPr>
          <w:rFonts w:ascii="Arial" w:eastAsia="Calibri" w:hAnsi="Arial" w:cs="Arial"/>
          <w:sz w:val="22"/>
          <w:szCs w:val="22"/>
          <w:lang w:val="en-AU"/>
        </w:rPr>
        <w:t>Council Plan 2013-2017</w:t>
      </w:r>
    </w:p>
    <w:p w:rsidR="00CF1F8A" w:rsidRPr="00CF1F8A" w:rsidRDefault="00CF1F8A" w:rsidP="00CF1F8A">
      <w:pPr>
        <w:numPr>
          <w:ilvl w:val="0"/>
          <w:numId w:val="10"/>
        </w:numPr>
        <w:spacing w:line="280" w:lineRule="atLeast"/>
        <w:contextualSpacing/>
        <w:jc w:val="both"/>
        <w:rPr>
          <w:rFonts w:ascii="Arial" w:eastAsia="Calibri" w:hAnsi="Arial" w:cs="Arial"/>
          <w:sz w:val="22"/>
          <w:szCs w:val="22"/>
          <w:lang w:val="en-AU"/>
        </w:rPr>
      </w:pPr>
      <w:r w:rsidRPr="00CF1F8A">
        <w:rPr>
          <w:rFonts w:ascii="Arial" w:eastAsia="Calibri" w:hAnsi="Arial" w:cs="Arial"/>
          <w:sz w:val="22"/>
          <w:szCs w:val="22"/>
          <w:lang w:val="en-AU"/>
        </w:rPr>
        <w:t>Municipal Public Health and Wellbeing Plan 2013-2017</w:t>
      </w:r>
    </w:p>
    <w:p w:rsidR="00CF1F8A" w:rsidRPr="00CF1F8A" w:rsidRDefault="00CF1F8A" w:rsidP="00CF1F8A">
      <w:pPr>
        <w:numPr>
          <w:ilvl w:val="0"/>
          <w:numId w:val="10"/>
        </w:numPr>
        <w:spacing w:line="280" w:lineRule="atLeast"/>
        <w:contextualSpacing/>
        <w:jc w:val="both"/>
        <w:rPr>
          <w:rFonts w:ascii="Arial" w:eastAsia="Calibri" w:hAnsi="Arial" w:cs="Arial"/>
          <w:sz w:val="22"/>
          <w:szCs w:val="22"/>
          <w:lang w:val="en-AU"/>
        </w:rPr>
      </w:pPr>
      <w:r w:rsidRPr="00CF1F8A">
        <w:rPr>
          <w:rFonts w:ascii="Arial" w:eastAsia="Calibri" w:hAnsi="Arial" w:cs="Arial"/>
          <w:sz w:val="22"/>
          <w:szCs w:val="22"/>
          <w:lang w:val="en-AU"/>
        </w:rPr>
        <w:t>Connect: A municipal plan for children, young people and their families 2013-2018</w:t>
      </w:r>
    </w:p>
    <w:p w:rsidR="00CF1F8A" w:rsidRPr="00CF1F8A" w:rsidRDefault="00CF1F8A" w:rsidP="00CF1F8A">
      <w:pPr>
        <w:numPr>
          <w:ilvl w:val="0"/>
          <w:numId w:val="10"/>
        </w:numPr>
        <w:spacing w:line="280" w:lineRule="atLeast"/>
        <w:contextualSpacing/>
        <w:jc w:val="both"/>
        <w:rPr>
          <w:rFonts w:ascii="Arial" w:eastAsia="Calibri" w:hAnsi="Arial" w:cs="Arial"/>
          <w:sz w:val="22"/>
          <w:szCs w:val="22"/>
          <w:lang w:val="en-AU"/>
        </w:rPr>
      </w:pPr>
      <w:r w:rsidRPr="00CF1F8A">
        <w:rPr>
          <w:rFonts w:ascii="Arial" w:eastAsia="Calibri" w:hAnsi="Arial" w:cs="Arial"/>
          <w:sz w:val="22"/>
          <w:szCs w:val="22"/>
          <w:lang w:val="en-AU"/>
        </w:rPr>
        <w:t>Building a Respectful Community A Strategy for the Northern Metropolitan Region 2011-2016</w:t>
      </w:r>
    </w:p>
    <w:p w:rsidR="00CF1F8A" w:rsidRPr="00CF1F8A" w:rsidRDefault="00CF1F8A" w:rsidP="00CF1F8A">
      <w:pPr>
        <w:numPr>
          <w:ilvl w:val="0"/>
          <w:numId w:val="10"/>
        </w:numPr>
        <w:spacing w:line="280" w:lineRule="atLeast"/>
        <w:contextualSpacing/>
        <w:jc w:val="both"/>
        <w:rPr>
          <w:rFonts w:ascii="Arial" w:eastAsia="Calibri" w:hAnsi="Arial" w:cs="Arial"/>
          <w:sz w:val="22"/>
          <w:szCs w:val="22"/>
          <w:lang w:val="en-AU"/>
        </w:rPr>
      </w:pPr>
      <w:r w:rsidRPr="00CF1F8A">
        <w:rPr>
          <w:rFonts w:ascii="Arial" w:eastAsia="Calibri" w:hAnsi="Arial" w:cs="Arial"/>
          <w:sz w:val="22"/>
          <w:szCs w:val="22"/>
          <w:lang w:val="en-AU"/>
        </w:rPr>
        <w:t>Department of Justice North Metropolitan Region Regional Community Safety Plan 2011</w:t>
      </w:r>
    </w:p>
    <w:p w:rsidR="00CF1F8A" w:rsidRPr="00CF1F8A" w:rsidRDefault="00CF1F8A" w:rsidP="00CF1F8A">
      <w:pPr>
        <w:numPr>
          <w:ilvl w:val="0"/>
          <w:numId w:val="10"/>
        </w:numPr>
        <w:spacing w:line="280" w:lineRule="atLeast"/>
        <w:contextualSpacing/>
        <w:jc w:val="both"/>
        <w:rPr>
          <w:rFonts w:ascii="Arial" w:eastAsia="Calibri" w:hAnsi="Arial" w:cs="Arial"/>
          <w:sz w:val="22"/>
          <w:szCs w:val="22"/>
          <w:lang w:val="en-AU"/>
        </w:rPr>
      </w:pPr>
      <w:r w:rsidRPr="00CF1F8A">
        <w:rPr>
          <w:rFonts w:ascii="Arial" w:eastAsia="Calibri" w:hAnsi="Arial" w:cs="Arial"/>
          <w:sz w:val="22"/>
          <w:szCs w:val="22"/>
          <w:lang w:val="en-AU"/>
        </w:rPr>
        <w:t>Whittlesea Community Futures Partnership Action Plan 2011-2016</w:t>
      </w:r>
    </w:p>
    <w:p w:rsidR="00CF1F8A" w:rsidRDefault="00CF1F8A" w:rsidP="00CF1F8A">
      <w:pPr>
        <w:spacing w:line="280" w:lineRule="atLeast"/>
        <w:contextualSpacing/>
        <w:rPr>
          <w:rFonts w:ascii="Arial" w:eastAsia="Times New Roman" w:hAnsi="Arial" w:cs="Arial"/>
          <w:b/>
          <w:color w:val="0070C0"/>
          <w:sz w:val="22"/>
          <w:szCs w:val="22"/>
          <w:lang w:val="en-GB" w:eastAsia="en-AU"/>
        </w:rPr>
      </w:pPr>
    </w:p>
    <w:p w:rsidR="00CF1F8A" w:rsidRPr="00CF1F8A" w:rsidRDefault="00CF1F8A" w:rsidP="00CF1F8A">
      <w:pPr>
        <w:spacing w:line="280" w:lineRule="atLeast"/>
        <w:contextualSpacing/>
        <w:jc w:val="both"/>
        <w:rPr>
          <w:rFonts w:ascii="Arial" w:eastAsia="Times New Roman" w:hAnsi="Arial" w:cs="Arial"/>
          <w:b/>
          <w:color w:val="0070C0"/>
          <w:sz w:val="22"/>
          <w:szCs w:val="22"/>
          <w:lang w:val="en-GB" w:eastAsia="en-AU"/>
        </w:rPr>
      </w:pPr>
      <w:r w:rsidRPr="00CF1F8A">
        <w:rPr>
          <w:rFonts w:ascii="Arial" w:eastAsia="Times New Roman" w:hAnsi="Arial" w:cs="Arial"/>
          <w:b/>
          <w:color w:val="0070C0"/>
          <w:sz w:val="22"/>
          <w:szCs w:val="22"/>
          <w:lang w:val="en-GB" w:eastAsia="en-AU"/>
        </w:rPr>
        <w:t>Key Messages</w:t>
      </w:r>
    </w:p>
    <w:p w:rsidR="00CF1F8A" w:rsidRPr="00CF1F8A" w:rsidRDefault="00CF1F8A" w:rsidP="00CF1F8A">
      <w:pPr>
        <w:spacing w:line="280" w:lineRule="atLeast"/>
        <w:contextualSpacing/>
        <w:jc w:val="both"/>
        <w:rPr>
          <w:rFonts w:ascii="Arial" w:eastAsia="Times New Roman" w:hAnsi="Arial" w:cs="Arial"/>
          <w:b/>
          <w:color w:val="0070C0"/>
          <w:sz w:val="22"/>
          <w:szCs w:val="22"/>
          <w:lang w:val="en-GB" w:eastAsia="en-AU"/>
        </w:rPr>
      </w:pPr>
    </w:p>
    <w:p w:rsidR="00CF1F8A" w:rsidRPr="00CF1F8A" w:rsidRDefault="00CF1F8A" w:rsidP="00CF1F8A">
      <w:pPr>
        <w:numPr>
          <w:ilvl w:val="0"/>
          <w:numId w:val="1"/>
        </w:numPr>
        <w:spacing w:line="280" w:lineRule="atLeast"/>
        <w:contextualSpacing/>
        <w:jc w:val="both"/>
        <w:rPr>
          <w:rFonts w:ascii="Arial" w:eastAsia="Calibri" w:hAnsi="Arial" w:cs="Arial"/>
          <w:sz w:val="22"/>
          <w:szCs w:val="22"/>
          <w:lang w:val="en-AU"/>
        </w:rPr>
      </w:pPr>
      <w:r w:rsidRPr="00CF1F8A">
        <w:rPr>
          <w:rFonts w:ascii="Arial" w:eastAsia="Calibri" w:hAnsi="Arial" w:cs="Arial"/>
          <w:sz w:val="22"/>
          <w:szCs w:val="22"/>
          <w:lang w:val="en-AU"/>
        </w:rPr>
        <w:t>The City of Whittlesea has the highest rate of reported family violence in the Victoria Police Northern Division 5.</w:t>
      </w:r>
    </w:p>
    <w:p w:rsidR="00CF1F8A" w:rsidRPr="00CF1F8A" w:rsidRDefault="00CF1F8A" w:rsidP="00CF1F8A">
      <w:pPr>
        <w:spacing w:line="280" w:lineRule="atLeast"/>
        <w:ind w:left="720"/>
        <w:contextualSpacing/>
        <w:jc w:val="both"/>
        <w:rPr>
          <w:rFonts w:ascii="Arial" w:eastAsia="Calibri" w:hAnsi="Arial" w:cs="Arial"/>
          <w:sz w:val="22"/>
          <w:szCs w:val="22"/>
          <w:lang w:val="en-AU"/>
        </w:rPr>
      </w:pPr>
    </w:p>
    <w:p w:rsidR="00CF1F8A" w:rsidRPr="00CF1F8A" w:rsidRDefault="00CF1F8A" w:rsidP="00CF1F8A">
      <w:pPr>
        <w:numPr>
          <w:ilvl w:val="0"/>
          <w:numId w:val="1"/>
        </w:numPr>
        <w:spacing w:line="280" w:lineRule="atLeast"/>
        <w:contextualSpacing/>
        <w:jc w:val="both"/>
        <w:rPr>
          <w:rFonts w:ascii="Arial" w:eastAsia="Calibri" w:hAnsi="Arial" w:cs="Arial"/>
          <w:sz w:val="22"/>
          <w:szCs w:val="22"/>
        </w:rPr>
      </w:pPr>
      <w:r w:rsidRPr="00CF1F8A">
        <w:rPr>
          <w:rFonts w:ascii="Arial" w:eastAsia="Calibri" w:hAnsi="Arial" w:cs="Arial"/>
          <w:sz w:val="22"/>
          <w:szCs w:val="22"/>
        </w:rPr>
        <w:t>2110 family violence incidents were reported in 2012-13 to Victoria Police including one homicide (an increase of 35% on the previous year); in 743 of these incidents children were present</w:t>
      </w:r>
      <w:r w:rsidRPr="00CF1F8A">
        <w:rPr>
          <w:rFonts w:ascii="Arial" w:eastAsia="Calibri" w:hAnsi="Arial" w:cs="Arial"/>
          <w:sz w:val="22"/>
          <w:szCs w:val="22"/>
          <w:vertAlign w:val="superscript"/>
        </w:rPr>
        <w:endnoteReference w:id="8"/>
      </w:r>
      <w:r w:rsidRPr="00CF1F8A">
        <w:rPr>
          <w:rFonts w:ascii="Arial" w:eastAsia="Calibri" w:hAnsi="Arial" w:cs="Arial"/>
          <w:sz w:val="22"/>
          <w:szCs w:val="22"/>
        </w:rPr>
        <w:t>.</w:t>
      </w:r>
    </w:p>
    <w:p w:rsidR="00CF1F8A" w:rsidRPr="00CF1F8A" w:rsidRDefault="00CF1F8A" w:rsidP="00CF1F8A">
      <w:pPr>
        <w:spacing w:line="280" w:lineRule="atLeast"/>
        <w:ind w:left="720"/>
        <w:contextualSpacing/>
        <w:jc w:val="both"/>
        <w:rPr>
          <w:rFonts w:ascii="Arial" w:eastAsia="Calibri" w:hAnsi="Arial" w:cs="Arial"/>
          <w:sz w:val="22"/>
          <w:szCs w:val="22"/>
        </w:rPr>
      </w:pPr>
    </w:p>
    <w:p w:rsidR="00CF1F8A" w:rsidRPr="00CF1F8A" w:rsidRDefault="00CF1F8A" w:rsidP="00CF1F8A">
      <w:pPr>
        <w:numPr>
          <w:ilvl w:val="0"/>
          <w:numId w:val="1"/>
        </w:numPr>
        <w:spacing w:line="280" w:lineRule="atLeast"/>
        <w:contextualSpacing/>
        <w:jc w:val="both"/>
        <w:rPr>
          <w:rFonts w:ascii="Arial" w:eastAsia="Calibri" w:hAnsi="Arial" w:cs="Arial"/>
          <w:sz w:val="22"/>
          <w:szCs w:val="22"/>
        </w:rPr>
      </w:pPr>
      <w:r w:rsidRPr="00CF1F8A">
        <w:rPr>
          <w:rFonts w:ascii="Arial" w:eastAsia="Calibri" w:hAnsi="Arial" w:cs="Arial"/>
          <w:sz w:val="22"/>
          <w:szCs w:val="22"/>
        </w:rPr>
        <w:t>Family violence was the context for 46% of all rapes and 15% of all other sex offences (95% of the victims were female; 100% of the alleged offenders were male)</w:t>
      </w:r>
      <w:r w:rsidRPr="00CF1F8A">
        <w:rPr>
          <w:rFonts w:ascii="Arial" w:eastAsia="Calibri" w:hAnsi="Arial" w:cs="Arial"/>
          <w:sz w:val="22"/>
          <w:szCs w:val="22"/>
          <w:vertAlign w:val="superscript"/>
        </w:rPr>
        <w:endnoteReference w:id="9"/>
      </w:r>
      <w:r w:rsidRPr="00CF1F8A">
        <w:rPr>
          <w:rFonts w:ascii="Arial" w:eastAsia="Calibri" w:hAnsi="Arial" w:cs="Arial"/>
          <w:sz w:val="22"/>
          <w:szCs w:val="22"/>
        </w:rPr>
        <w:t>.</w:t>
      </w:r>
    </w:p>
    <w:p w:rsidR="00CF1F8A" w:rsidRPr="00CF1F8A" w:rsidRDefault="00CF1F8A" w:rsidP="00CF1F8A">
      <w:pPr>
        <w:spacing w:line="280" w:lineRule="atLeast"/>
        <w:ind w:left="720"/>
        <w:contextualSpacing/>
        <w:jc w:val="both"/>
        <w:rPr>
          <w:rFonts w:ascii="Arial" w:eastAsia="Calibri" w:hAnsi="Arial" w:cs="Arial"/>
          <w:sz w:val="22"/>
          <w:szCs w:val="22"/>
          <w:lang w:val="en-AU"/>
        </w:rPr>
      </w:pPr>
    </w:p>
    <w:p w:rsidR="00CF1F8A" w:rsidRPr="00CF1F8A" w:rsidRDefault="00CF1F8A" w:rsidP="00CF1F8A">
      <w:pPr>
        <w:numPr>
          <w:ilvl w:val="0"/>
          <w:numId w:val="1"/>
        </w:numPr>
        <w:spacing w:line="280" w:lineRule="atLeast"/>
        <w:contextualSpacing/>
        <w:jc w:val="both"/>
        <w:rPr>
          <w:rFonts w:ascii="Arial" w:eastAsia="Calibri" w:hAnsi="Arial" w:cs="Arial"/>
          <w:sz w:val="22"/>
          <w:szCs w:val="22"/>
          <w:lang w:val="en-AU"/>
        </w:rPr>
      </w:pPr>
      <w:r w:rsidRPr="00CF1F8A">
        <w:rPr>
          <w:rFonts w:ascii="Arial" w:eastAsia="Calibri" w:hAnsi="Arial" w:cs="Arial"/>
          <w:sz w:val="22"/>
          <w:szCs w:val="22"/>
          <w:lang w:val="en-AU"/>
        </w:rPr>
        <w:t>On average 3 sexual offences are reported in the municipality every week.</w:t>
      </w:r>
    </w:p>
    <w:p w:rsidR="00CF1F8A" w:rsidRPr="00CF1F8A" w:rsidRDefault="00CF1F8A" w:rsidP="00CF1F8A">
      <w:pPr>
        <w:spacing w:line="280" w:lineRule="atLeast"/>
        <w:ind w:left="720"/>
        <w:contextualSpacing/>
        <w:jc w:val="both"/>
        <w:rPr>
          <w:rFonts w:ascii="Arial" w:eastAsia="Calibri" w:hAnsi="Arial" w:cs="Arial"/>
          <w:sz w:val="22"/>
          <w:szCs w:val="22"/>
        </w:rPr>
      </w:pPr>
    </w:p>
    <w:p w:rsidR="00CF1F8A" w:rsidRPr="00CF1F8A" w:rsidRDefault="00CF1F8A" w:rsidP="00CF1F8A">
      <w:pPr>
        <w:numPr>
          <w:ilvl w:val="0"/>
          <w:numId w:val="1"/>
        </w:numPr>
        <w:spacing w:line="280" w:lineRule="atLeast"/>
        <w:contextualSpacing/>
        <w:jc w:val="both"/>
        <w:rPr>
          <w:rFonts w:ascii="Arial" w:eastAsia="Calibri" w:hAnsi="Arial" w:cs="Arial"/>
          <w:sz w:val="22"/>
          <w:szCs w:val="22"/>
        </w:rPr>
      </w:pPr>
      <w:proofErr w:type="gramStart"/>
      <w:r w:rsidRPr="00CF1F8A">
        <w:rPr>
          <w:rFonts w:ascii="Arial" w:eastAsia="Calibri" w:hAnsi="Arial" w:cs="Arial"/>
          <w:sz w:val="22"/>
          <w:szCs w:val="22"/>
        </w:rPr>
        <w:t>An average of 40 incidents of family violence are</w:t>
      </w:r>
      <w:proofErr w:type="gramEnd"/>
      <w:r w:rsidRPr="00CF1F8A">
        <w:rPr>
          <w:rFonts w:ascii="Arial" w:eastAsia="Calibri" w:hAnsi="Arial" w:cs="Arial"/>
          <w:sz w:val="22"/>
          <w:szCs w:val="22"/>
        </w:rPr>
        <w:t xml:space="preserve"> reported every week.</w:t>
      </w:r>
    </w:p>
    <w:p w:rsidR="00CF1F8A" w:rsidRPr="00CF1F8A" w:rsidRDefault="00CF1F8A" w:rsidP="00CF1F8A">
      <w:pPr>
        <w:spacing w:line="280" w:lineRule="atLeast"/>
        <w:ind w:left="720"/>
        <w:contextualSpacing/>
        <w:jc w:val="both"/>
        <w:rPr>
          <w:rFonts w:ascii="Arial" w:eastAsia="Calibri" w:hAnsi="Arial" w:cs="Arial"/>
          <w:sz w:val="22"/>
          <w:szCs w:val="22"/>
        </w:rPr>
      </w:pPr>
    </w:p>
    <w:p w:rsidR="00CF1F8A" w:rsidRPr="00CF1F8A" w:rsidRDefault="00CF1F8A" w:rsidP="00CF1F8A">
      <w:pPr>
        <w:numPr>
          <w:ilvl w:val="0"/>
          <w:numId w:val="1"/>
        </w:numPr>
        <w:spacing w:line="280" w:lineRule="atLeast"/>
        <w:contextualSpacing/>
        <w:jc w:val="both"/>
        <w:rPr>
          <w:rFonts w:ascii="Arial" w:eastAsia="Calibri" w:hAnsi="Arial" w:cs="Arial"/>
          <w:sz w:val="22"/>
          <w:szCs w:val="22"/>
        </w:rPr>
      </w:pPr>
      <w:r w:rsidRPr="00CF1F8A">
        <w:rPr>
          <w:rFonts w:ascii="Arial" w:eastAsia="Calibri" w:hAnsi="Arial" w:cs="Arial"/>
          <w:sz w:val="22"/>
          <w:szCs w:val="22"/>
        </w:rPr>
        <w:t>More than half (56%) of all assaults arose from family violence.</w:t>
      </w:r>
    </w:p>
    <w:p w:rsidR="003F783A" w:rsidRPr="00CF1F8A" w:rsidRDefault="003F783A" w:rsidP="00CF1F8A">
      <w:pPr>
        <w:spacing w:line="280" w:lineRule="atLeast"/>
        <w:ind w:right="-1800"/>
        <w:contextualSpacing/>
        <w:rPr>
          <w:rFonts w:ascii="Arial" w:hAnsi="Arial" w:cs="Arial"/>
          <w:sz w:val="22"/>
          <w:szCs w:val="22"/>
          <w:lang w:val="en-AU"/>
        </w:rPr>
      </w:pPr>
    </w:p>
    <w:sectPr w:rsidR="003F783A" w:rsidRPr="00CF1F8A" w:rsidSect="00FD7C07">
      <w:headerReference w:type="even" r:id="rId8"/>
      <w:headerReference w:type="default" r:id="rId9"/>
      <w:footerReference w:type="default" r:id="rId10"/>
      <w:headerReference w:type="first" r:id="rId11"/>
      <w:pgSz w:w="11900" w:h="16840"/>
      <w:pgMar w:top="238" w:right="1134" w:bottom="1418" w:left="1134" w:header="709" w:footer="113"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04" w:rsidRDefault="00C212ED">
      <w:r>
        <w:separator/>
      </w:r>
    </w:p>
  </w:endnote>
  <w:endnote w:type="continuationSeparator" w:id="0">
    <w:p w:rsidR="00D71A04" w:rsidRDefault="00C212ED">
      <w:r>
        <w:continuationSeparator/>
      </w:r>
    </w:p>
  </w:endnote>
  <w:endnote w:id="1">
    <w:p w:rsidR="00CF1F8A" w:rsidRPr="001B0202" w:rsidRDefault="00CF1F8A" w:rsidP="00CF1F8A">
      <w:pPr>
        <w:pStyle w:val="EndnoteText"/>
      </w:pPr>
      <w:r>
        <w:rPr>
          <w:rStyle w:val="EndnoteReference"/>
        </w:rPr>
        <w:endnoteRef/>
      </w:r>
      <w:r>
        <w:t xml:space="preserve"> Victoria Police Family Incident Reports </w:t>
      </w:r>
      <w:r w:rsidRPr="009844C4">
        <w:t>http://www.police.vic.gov.au/content.asp?a=internetBridgingPage&amp;Media_ID=72311</w:t>
      </w:r>
    </w:p>
  </w:endnote>
  <w:endnote w:id="2">
    <w:p w:rsidR="00CF1F8A" w:rsidRPr="001B0202" w:rsidRDefault="00CF1F8A" w:rsidP="00CF1F8A">
      <w:pPr>
        <w:pStyle w:val="EndnoteText"/>
      </w:pPr>
      <w:r>
        <w:rPr>
          <w:rStyle w:val="EndnoteReference"/>
        </w:rPr>
        <w:endnoteRef/>
      </w:r>
      <w:r>
        <w:t xml:space="preserve"> Women’s Health In the North Family Violence Fact Sheet Whittlesea LGA 2012-2013</w:t>
      </w:r>
    </w:p>
  </w:endnote>
  <w:endnote w:id="3">
    <w:p w:rsidR="00CF1F8A" w:rsidRPr="001B0202" w:rsidRDefault="00CF1F8A" w:rsidP="00CF1F8A">
      <w:pPr>
        <w:pStyle w:val="EndnoteText"/>
      </w:pPr>
      <w:r>
        <w:rPr>
          <w:rStyle w:val="EndnoteReference"/>
        </w:rPr>
        <w:endnoteRef/>
      </w:r>
      <w:r>
        <w:t xml:space="preserve"> Police referrals received by NFDVS by LGA Financial Year Comparison July 2009 - June 2013</w:t>
      </w:r>
    </w:p>
  </w:endnote>
  <w:endnote w:id="4">
    <w:p w:rsidR="00CF1F8A" w:rsidRPr="00F47837" w:rsidRDefault="00CF1F8A" w:rsidP="00CF1F8A">
      <w:pPr>
        <w:pStyle w:val="EndnoteText"/>
      </w:pPr>
      <w:r>
        <w:rPr>
          <w:rStyle w:val="EndnoteReference"/>
        </w:rPr>
        <w:endnoteRef/>
      </w:r>
      <w:r>
        <w:t xml:space="preserve"> </w:t>
      </w:r>
      <w:r w:rsidRPr="00F47837">
        <w:t>where police have attended three or more times in the past 12 months</w:t>
      </w:r>
    </w:p>
  </w:endnote>
  <w:endnote w:id="5">
    <w:p w:rsidR="00CF1F8A" w:rsidRDefault="00CF1F8A" w:rsidP="00CF1F8A">
      <w:pPr>
        <w:pStyle w:val="EndnoteText"/>
      </w:pPr>
      <w:r>
        <w:rPr>
          <w:rStyle w:val="EndnoteReference"/>
        </w:rPr>
        <w:endnoteRef/>
      </w:r>
      <w:r>
        <w:t xml:space="preserve"> </w:t>
      </w:r>
      <w:proofErr w:type="spellStart"/>
      <w:r>
        <w:t>VicHealth</w:t>
      </w:r>
      <w:proofErr w:type="spellEnd"/>
      <w:r>
        <w:t xml:space="preserve"> Preventing violence before it occurs: A framework and background paper to guide the primary prevention of violence against women in Victoria 2007</w:t>
      </w:r>
    </w:p>
  </w:endnote>
  <w:endnote w:id="6">
    <w:p w:rsidR="00CF1F8A" w:rsidRDefault="00CF1F8A" w:rsidP="00CF1F8A">
      <w:pPr>
        <w:pStyle w:val="EndnoteText"/>
      </w:pPr>
      <w:r>
        <w:rPr>
          <w:rStyle w:val="EndnoteReference"/>
        </w:rPr>
        <w:endnoteRef/>
      </w:r>
      <w:r>
        <w:t xml:space="preserve"> National Council to Reduce Violence Against Women and their children, The costs of violence </w:t>
      </w:r>
      <w:proofErr w:type="spellStart"/>
      <w:r>
        <w:t>agasint</w:t>
      </w:r>
      <w:proofErr w:type="spellEnd"/>
      <w:r>
        <w:t xml:space="preserve"> women and their children, FACHSIA 2009</w:t>
      </w:r>
    </w:p>
  </w:endnote>
  <w:endnote w:id="7">
    <w:p w:rsidR="00CF1F8A" w:rsidRDefault="00CF1F8A" w:rsidP="00CF1F8A">
      <w:pPr>
        <w:pStyle w:val="EndnoteText"/>
      </w:pPr>
      <w:r>
        <w:rPr>
          <w:rStyle w:val="EndnoteReference"/>
        </w:rPr>
        <w:endnoteRef/>
      </w:r>
      <w:r>
        <w:t xml:space="preserve"> Victorian Health Promotion Foundation The health costs of violence: measuring the burden of disease caused by intimate partner violence: a summary of the findings </w:t>
      </w:r>
      <w:proofErr w:type="spellStart"/>
      <w:r>
        <w:t>VicHealth</w:t>
      </w:r>
      <w:proofErr w:type="spellEnd"/>
      <w:r>
        <w:t xml:space="preserve"> 2004</w:t>
      </w:r>
    </w:p>
  </w:endnote>
  <w:endnote w:id="8">
    <w:p w:rsidR="00CF1F8A" w:rsidRPr="00A06AF5" w:rsidRDefault="00CF1F8A" w:rsidP="00CF1F8A">
      <w:pPr>
        <w:pStyle w:val="EndnoteText"/>
        <w:rPr>
          <w:sz w:val="18"/>
        </w:rPr>
      </w:pPr>
      <w:r w:rsidRPr="00A06AF5">
        <w:rPr>
          <w:rStyle w:val="EndnoteReference"/>
          <w:sz w:val="18"/>
        </w:rPr>
        <w:endnoteRef/>
      </w:r>
      <w:r w:rsidRPr="00A06AF5">
        <w:rPr>
          <w:sz w:val="18"/>
        </w:rPr>
        <w:t xml:space="preserve"> Victoria Police Family Incident Reports http://www.police.vic.gov.au/content.asp?a=internetBridgingPage&amp;Media_ID=72311</w:t>
      </w:r>
    </w:p>
  </w:endnote>
  <w:endnote w:id="9">
    <w:p w:rsidR="00CF1F8A" w:rsidRDefault="00CF1F8A" w:rsidP="00CF1F8A">
      <w:pPr>
        <w:pStyle w:val="EndnoteText"/>
      </w:pPr>
      <w:r w:rsidRPr="00A06AF5">
        <w:rPr>
          <w:rStyle w:val="EndnoteReference"/>
          <w:sz w:val="18"/>
        </w:rPr>
        <w:endnoteRef/>
      </w:r>
      <w:r w:rsidRPr="00A06AF5">
        <w:rPr>
          <w:sz w:val="18"/>
        </w:rPr>
        <w:t xml:space="preserve"> Women’s Health In the North Family Violence Fact Sheet Whittlesea LGA 2012-2013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219014"/>
      <w:docPartObj>
        <w:docPartGallery w:val="Page Numbers (Bottom of Page)"/>
        <w:docPartUnique/>
      </w:docPartObj>
    </w:sdtPr>
    <w:sdtEndPr>
      <w:rPr>
        <w:noProof/>
      </w:rPr>
    </w:sdtEndPr>
    <w:sdtContent>
      <w:p w:rsidR="00FD7C07" w:rsidRDefault="00FD7C07">
        <w:pPr>
          <w:pStyle w:val="Footer"/>
          <w:jc w:val="right"/>
        </w:pPr>
        <w:r w:rsidRPr="00FD7C07">
          <w:rPr>
            <w:sz w:val="16"/>
          </w:rPr>
          <w:fldChar w:fldCharType="begin"/>
        </w:r>
        <w:r w:rsidRPr="00FD7C07">
          <w:rPr>
            <w:sz w:val="16"/>
          </w:rPr>
          <w:instrText xml:space="preserve"> PAGE   \* MERGEFORMAT </w:instrText>
        </w:r>
        <w:r w:rsidRPr="00FD7C07">
          <w:rPr>
            <w:sz w:val="16"/>
          </w:rPr>
          <w:fldChar w:fldCharType="separate"/>
        </w:r>
        <w:r w:rsidR="00B81FB9">
          <w:rPr>
            <w:noProof/>
            <w:sz w:val="16"/>
          </w:rPr>
          <w:t>21</w:t>
        </w:r>
        <w:r w:rsidRPr="00FD7C07">
          <w:rPr>
            <w:noProof/>
            <w:sz w:val="16"/>
          </w:rPr>
          <w:fldChar w:fldCharType="end"/>
        </w:r>
      </w:p>
    </w:sdtContent>
  </w:sdt>
  <w:p w:rsidR="00702727" w:rsidRDefault="0070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04" w:rsidRDefault="00C212ED">
      <w:r>
        <w:separator/>
      </w:r>
    </w:p>
  </w:footnote>
  <w:footnote w:type="continuationSeparator" w:id="0">
    <w:p w:rsidR="00D71A04" w:rsidRDefault="00C2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B81F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6pt;height:841.05pt;z-index:-251657216;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B81F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4.6pt;height:841.05pt;z-index:-251658240;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B81F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4.6pt;height:841.05pt;z-index:-251656192;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61"/>
    <w:multiLevelType w:val="hybridMultilevel"/>
    <w:tmpl w:val="0E540E88"/>
    <w:lvl w:ilvl="0" w:tplc="EEDAA9A0">
      <w:start w:val="1"/>
      <w:numFmt w:val="bullet"/>
      <w:lvlText w:val=""/>
      <w:lvlJc w:val="left"/>
      <w:pPr>
        <w:tabs>
          <w:tab w:val="num" w:pos="720"/>
        </w:tabs>
        <w:ind w:left="720" w:hanging="360"/>
      </w:pPr>
      <w:rPr>
        <w:rFonts w:ascii="Wingdings" w:hAnsi="Wingdings" w:hint="default"/>
      </w:rPr>
    </w:lvl>
    <w:lvl w:ilvl="1" w:tplc="DB1C442C">
      <w:start w:val="1"/>
      <w:numFmt w:val="bullet"/>
      <w:lvlText w:val=""/>
      <w:lvlJc w:val="left"/>
      <w:pPr>
        <w:tabs>
          <w:tab w:val="num" w:pos="1440"/>
        </w:tabs>
        <w:ind w:left="1440" w:hanging="360"/>
      </w:pPr>
      <w:rPr>
        <w:rFonts w:ascii="Wingdings" w:hAnsi="Wingdings" w:hint="default"/>
      </w:rPr>
    </w:lvl>
    <w:lvl w:ilvl="2" w:tplc="C3AAC384" w:tentative="1">
      <w:start w:val="1"/>
      <w:numFmt w:val="bullet"/>
      <w:lvlText w:val=""/>
      <w:lvlJc w:val="left"/>
      <w:pPr>
        <w:tabs>
          <w:tab w:val="num" w:pos="2160"/>
        </w:tabs>
        <w:ind w:left="2160" w:hanging="360"/>
      </w:pPr>
      <w:rPr>
        <w:rFonts w:ascii="Wingdings" w:hAnsi="Wingdings" w:hint="default"/>
      </w:rPr>
    </w:lvl>
    <w:lvl w:ilvl="3" w:tplc="21482EC6" w:tentative="1">
      <w:start w:val="1"/>
      <w:numFmt w:val="bullet"/>
      <w:lvlText w:val=""/>
      <w:lvlJc w:val="left"/>
      <w:pPr>
        <w:tabs>
          <w:tab w:val="num" w:pos="2880"/>
        </w:tabs>
        <w:ind w:left="2880" w:hanging="360"/>
      </w:pPr>
      <w:rPr>
        <w:rFonts w:ascii="Wingdings" w:hAnsi="Wingdings" w:hint="default"/>
      </w:rPr>
    </w:lvl>
    <w:lvl w:ilvl="4" w:tplc="BB84665C" w:tentative="1">
      <w:start w:val="1"/>
      <w:numFmt w:val="bullet"/>
      <w:lvlText w:val=""/>
      <w:lvlJc w:val="left"/>
      <w:pPr>
        <w:tabs>
          <w:tab w:val="num" w:pos="3600"/>
        </w:tabs>
        <w:ind w:left="3600" w:hanging="360"/>
      </w:pPr>
      <w:rPr>
        <w:rFonts w:ascii="Wingdings" w:hAnsi="Wingdings" w:hint="default"/>
      </w:rPr>
    </w:lvl>
    <w:lvl w:ilvl="5" w:tplc="40684A52" w:tentative="1">
      <w:start w:val="1"/>
      <w:numFmt w:val="bullet"/>
      <w:lvlText w:val=""/>
      <w:lvlJc w:val="left"/>
      <w:pPr>
        <w:tabs>
          <w:tab w:val="num" w:pos="4320"/>
        </w:tabs>
        <w:ind w:left="4320" w:hanging="360"/>
      </w:pPr>
      <w:rPr>
        <w:rFonts w:ascii="Wingdings" w:hAnsi="Wingdings" w:hint="default"/>
      </w:rPr>
    </w:lvl>
    <w:lvl w:ilvl="6" w:tplc="9F5278B2" w:tentative="1">
      <w:start w:val="1"/>
      <w:numFmt w:val="bullet"/>
      <w:lvlText w:val=""/>
      <w:lvlJc w:val="left"/>
      <w:pPr>
        <w:tabs>
          <w:tab w:val="num" w:pos="5040"/>
        </w:tabs>
        <w:ind w:left="5040" w:hanging="360"/>
      </w:pPr>
      <w:rPr>
        <w:rFonts w:ascii="Wingdings" w:hAnsi="Wingdings" w:hint="default"/>
      </w:rPr>
    </w:lvl>
    <w:lvl w:ilvl="7" w:tplc="ACBAD954" w:tentative="1">
      <w:start w:val="1"/>
      <w:numFmt w:val="bullet"/>
      <w:lvlText w:val=""/>
      <w:lvlJc w:val="left"/>
      <w:pPr>
        <w:tabs>
          <w:tab w:val="num" w:pos="5760"/>
        </w:tabs>
        <w:ind w:left="5760" w:hanging="360"/>
      </w:pPr>
      <w:rPr>
        <w:rFonts w:ascii="Wingdings" w:hAnsi="Wingdings" w:hint="default"/>
      </w:rPr>
    </w:lvl>
    <w:lvl w:ilvl="8" w:tplc="28B2AD84" w:tentative="1">
      <w:start w:val="1"/>
      <w:numFmt w:val="bullet"/>
      <w:lvlText w:val=""/>
      <w:lvlJc w:val="left"/>
      <w:pPr>
        <w:tabs>
          <w:tab w:val="num" w:pos="6480"/>
        </w:tabs>
        <w:ind w:left="6480" w:hanging="360"/>
      </w:pPr>
      <w:rPr>
        <w:rFonts w:ascii="Wingdings" w:hAnsi="Wingdings" w:hint="default"/>
      </w:rPr>
    </w:lvl>
  </w:abstractNum>
  <w:abstractNum w:abstractNumId="1">
    <w:nsid w:val="08DE63E1"/>
    <w:multiLevelType w:val="hybridMultilevel"/>
    <w:tmpl w:val="D2B0522E"/>
    <w:lvl w:ilvl="0" w:tplc="3168BB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9129B"/>
    <w:multiLevelType w:val="hybridMultilevel"/>
    <w:tmpl w:val="FDFAF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003901"/>
    <w:multiLevelType w:val="hybridMultilevel"/>
    <w:tmpl w:val="4BE4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C02973"/>
    <w:multiLevelType w:val="hybridMultilevel"/>
    <w:tmpl w:val="BD5C0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C96387"/>
    <w:multiLevelType w:val="hybridMultilevel"/>
    <w:tmpl w:val="F0F0C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5316E2"/>
    <w:multiLevelType w:val="hybridMultilevel"/>
    <w:tmpl w:val="392A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5F1334"/>
    <w:multiLevelType w:val="hybridMultilevel"/>
    <w:tmpl w:val="DDDC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12702B"/>
    <w:multiLevelType w:val="hybridMultilevel"/>
    <w:tmpl w:val="F49C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81641C"/>
    <w:multiLevelType w:val="hybridMultilevel"/>
    <w:tmpl w:val="B21EAC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996524"/>
    <w:multiLevelType w:val="hybridMultilevel"/>
    <w:tmpl w:val="C19CF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761B14"/>
    <w:multiLevelType w:val="hybridMultilevel"/>
    <w:tmpl w:val="19647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0670A5"/>
    <w:multiLevelType w:val="hybridMultilevel"/>
    <w:tmpl w:val="7EC257E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797A176A"/>
    <w:multiLevelType w:val="hybridMultilevel"/>
    <w:tmpl w:val="C030A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2"/>
  </w:num>
  <w:num w:numId="5">
    <w:abstractNumId w:val="1"/>
  </w:num>
  <w:num w:numId="6">
    <w:abstractNumId w:val="6"/>
  </w:num>
  <w:num w:numId="7">
    <w:abstractNumId w:val="8"/>
  </w:num>
  <w:num w:numId="8">
    <w:abstractNumId w:val="3"/>
  </w:num>
  <w:num w:numId="9">
    <w:abstractNumId w:val="7"/>
  </w:num>
  <w:num w:numId="10">
    <w:abstractNumId w:val="4"/>
  </w:num>
  <w:num w:numId="11">
    <w:abstractNumId w:val="5"/>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2B"/>
    <w:rsid w:val="0020737F"/>
    <w:rsid w:val="003F783A"/>
    <w:rsid w:val="00702727"/>
    <w:rsid w:val="00B81FB9"/>
    <w:rsid w:val="00C212ED"/>
    <w:rsid w:val="00CF1F8A"/>
    <w:rsid w:val="00D71A04"/>
    <w:rsid w:val="00F063AF"/>
    <w:rsid w:val="00F3282B"/>
    <w:rsid w:val="00FD7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table" w:customStyle="1" w:styleId="LightGrid-Accent11">
    <w:name w:val="Light Grid - Accent 11"/>
    <w:basedOn w:val="TableNormal"/>
    <w:next w:val="LightGrid-Accent1"/>
    <w:uiPriority w:val="62"/>
    <w:rsid w:val="00CF1F8A"/>
    <w:rPr>
      <w:sz w:val="22"/>
      <w:szCs w:val="22"/>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CF1F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table" w:customStyle="1" w:styleId="LightGrid-Accent11">
    <w:name w:val="Light Grid - Accent 11"/>
    <w:basedOn w:val="TableNormal"/>
    <w:next w:val="LightGrid-Accent1"/>
    <w:uiPriority w:val="62"/>
    <w:rsid w:val="00CF1F8A"/>
    <w:rPr>
      <w:sz w:val="22"/>
      <w:szCs w:val="22"/>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CF1F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79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433007F3.dotm</Template>
  <TotalTime>5</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Sujo Design</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Szuravlevicz</dc:creator>
  <cp:lastModifiedBy>Thiyagerajah Abarajitha</cp:lastModifiedBy>
  <cp:revision>5</cp:revision>
  <cp:lastPrinted>2014-08-28T04:20:00Z</cp:lastPrinted>
  <dcterms:created xsi:type="dcterms:W3CDTF">2014-08-27T05:07:00Z</dcterms:created>
  <dcterms:modified xsi:type="dcterms:W3CDTF">2014-08-28T04:21:00Z</dcterms:modified>
</cp:coreProperties>
</file>